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3695035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47819D6B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285056D9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935" cy="198120"/>
                <wp:effectExtent l="0" t="0" r="0" b="0"/>
                <wp:wrapNone/>
                <wp:docPr id="3" name="文本框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1752BA"/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1" o:spid="_x0000_s1026" o:spt="202" type="#_x0000_t202" style="position:absolute;left:0pt;margin-left:0pt;margin-top:0pt;height:15.6pt;width:9.05pt;mso-position-horizontal-relative:page;mso-position-vertical-relative:page;mso-wrap-style:none;z-index:-251657216;mso-width-relative:page;mso-height-relative:page;" filled="f" stroked="f" coordsize="21600,21600" o:allowincell="f" o:gfxdata="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HQSY3QAAAAAwEAAA8AAAAAAAAAAQAgAAAAIgAAAGRycy9kb3du&#10;cmV2LnhtbFBLAQIUABQAAAAIAIdO4kA0N92WzgEAAJYDAAAOAAAAAAAAAAEAIAAAAB8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 w14:paraId="4C1752BA"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  <w:t xml:space="preserve"> </w:t>
      </w:r>
    </w:p>
    <w:p w14:paraId="3BC6CC0E"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kern w:val="1"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bCs/>
          <w:kern w:val="1"/>
          <w:sz w:val="44"/>
          <w:szCs w:val="44"/>
        </w:rPr>
        <w:t>钢构公司—铜基新材料项目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不锈钢装饰面板</w:t>
      </w:r>
    </w:p>
    <w:p w14:paraId="0769EB7B">
      <w:pPr>
        <w:tabs>
          <w:tab w:val="left" w:pos="7020"/>
        </w:tabs>
        <w:ind w:firstLine="2175" w:firstLineChars="300"/>
        <w:jc w:val="both"/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</w:pPr>
    </w:p>
    <w:p w14:paraId="0A712830">
      <w:pPr>
        <w:tabs>
          <w:tab w:val="left" w:pos="7020"/>
        </w:tabs>
        <w:ind w:firstLine="2175" w:firstLineChars="300"/>
        <w:jc w:val="both"/>
        <w:rPr>
          <w:rFonts w:asciiTheme="minorEastAsia" w:hAnsiTheme="minorEastAsia" w:eastAsiaTheme="minorEastAsia" w:cstheme="minorEastAsia"/>
          <w:b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sz w:val="72"/>
          <w:szCs w:val="72"/>
        </w:rPr>
        <w:t>文件</w:t>
      </w:r>
    </w:p>
    <w:p w14:paraId="3D69F8B3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52"/>
          <w:szCs w:val="52"/>
        </w:rPr>
      </w:pPr>
    </w:p>
    <w:p w14:paraId="725BBB96">
      <w:pPr>
        <w:pStyle w:val="2"/>
      </w:pPr>
    </w:p>
    <w:p w14:paraId="76B9046C">
      <w:pPr>
        <w:rPr>
          <w:rFonts w:hint="eastAsia" w:asciiTheme="minorEastAsia" w:hAnsiTheme="minorEastAsia" w:eastAsiaTheme="minorEastAsia" w:cstheme="minorEastAsia"/>
          <w:b/>
          <w:bCs/>
          <w:kern w:val="1"/>
          <w:sz w:val="27"/>
          <w:szCs w:val="27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编号：</w:t>
      </w:r>
      <w:r>
        <w:rPr>
          <w:rFonts w:hint="eastAsia" w:asciiTheme="minorEastAsia" w:hAnsiTheme="minorEastAsia" w:eastAsiaTheme="minorEastAsia" w:cstheme="minorEastAsia"/>
          <w:b/>
          <w:bCs/>
          <w:kern w:val="1"/>
          <w:sz w:val="27"/>
          <w:szCs w:val="27"/>
        </w:rPr>
        <w:t>TGJA-WZ-2025-03</w:t>
      </w:r>
      <w:r>
        <w:rPr>
          <w:rFonts w:hint="eastAsia" w:asciiTheme="minorEastAsia" w:hAnsiTheme="minorEastAsia" w:eastAsiaTheme="minorEastAsia" w:cstheme="minorEastAsia"/>
          <w:b/>
          <w:bCs/>
          <w:kern w:val="1"/>
          <w:sz w:val="27"/>
          <w:szCs w:val="27"/>
          <w:lang w:val="en-US" w:eastAsia="zh-CN"/>
        </w:rPr>
        <w:t>8</w:t>
      </w:r>
    </w:p>
    <w:p w14:paraId="60997B09">
      <w:pPr>
        <w:pStyle w:val="2"/>
        <w:rPr>
          <w:rFonts w:hint="eastAsia"/>
          <w:lang w:val="en-US" w:eastAsia="zh-CN"/>
        </w:rPr>
      </w:pPr>
    </w:p>
    <w:p w14:paraId="1B8719CB">
      <w:pP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eastAsia="zh-CN"/>
        </w:rPr>
        <w:t>单位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: 铜陵有色金属集团铜冠建筑安装股份有限公司（盖章）</w:t>
      </w:r>
    </w:p>
    <w:p w14:paraId="08EF879B">
      <w:pPr>
        <w:pStyle w:val="2"/>
      </w:pPr>
    </w:p>
    <w:p w14:paraId="7A2893EE">
      <w:pPr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联 系 人：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  <w:lang w:eastAsia="zh-CN"/>
        </w:rPr>
        <w:t>贾杰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  <w:lang w:val="en-US" w:eastAsia="zh-CN"/>
        </w:rPr>
        <w:t>13965211845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</w:rPr>
        <w:t>）、黄赟（18656211500）</w:t>
      </w:r>
    </w:p>
    <w:p w14:paraId="77FA975B">
      <w:pPr>
        <w:tabs>
          <w:tab w:val="left" w:pos="7020"/>
        </w:tabs>
        <w:snapToGrid w:val="0"/>
        <w:spacing w:line="600" w:lineRule="exact"/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7" w:right="1417" w:bottom="1417" w:left="1417" w:header="851" w:footer="272" w:gutter="283"/>
          <w:pgNumType w:start="1"/>
          <w:cols w:space="0" w:num="1"/>
          <w:rtlGutter w:val="0"/>
          <w:docGrid w:type="linesAndChars" w:linePitch="312" w:charSpace="1033"/>
        </w:sectPr>
      </w:pPr>
    </w:p>
    <w:p w14:paraId="696450D8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CE0E9A0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【声明】</w:t>
      </w:r>
    </w:p>
    <w:p w14:paraId="56B081FD">
      <w:pPr>
        <w:spacing w:line="360" w:lineRule="auto"/>
        <w:ind w:firstLine="490" w:firstLineChars="200"/>
        <w:rPr>
          <w:rFonts w:hint="eastAsia"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1、根据公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司20</w:t>
      </w:r>
      <w:r>
        <w:rPr>
          <w:rFonts w:hint="eastAsia" w:ascii="仿宋" w:hAnsi="仿宋" w:eastAsia="仿宋" w:cs="仿宋_GB2312"/>
          <w:color w:val="auto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_GB2312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日</w:t>
      </w:r>
      <w:r>
        <w:rPr>
          <w:rFonts w:hint="eastAsia" w:ascii="仿宋" w:hAnsi="仿宋" w:eastAsia="仿宋" w:cs="仿宋_GB2312"/>
          <w:sz w:val="24"/>
          <w:szCs w:val="24"/>
        </w:rPr>
        <w:t>起实施的《铜冠建安公司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_GB2312"/>
          <w:sz w:val="24"/>
          <w:szCs w:val="24"/>
        </w:rPr>
        <w:t>管理办法》及阳光工程相关规定，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物资</w:t>
      </w:r>
      <w:r>
        <w:rPr>
          <w:rFonts w:hint="eastAsia" w:ascii="仿宋" w:hAnsi="仿宋" w:eastAsia="仿宋" w:cs="仿宋_GB2312"/>
          <w:sz w:val="24"/>
          <w:szCs w:val="24"/>
        </w:rPr>
        <w:t>部通过公司外网公开平台组织</w:t>
      </w:r>
      <w:r>
        <w:rPr>
          <w:rFonts w:hint="eastAsia" w:ascii="仿宋" w:hAnsi="仿宋" w:eastAsia="仿宋" w:cs="仿宋_GB2312"/>
          <w:color w:val="FF0000"/>
          <w:sz w:val="24"/>
          <w:szCs w:val="24"/>
        </w:rPr>
        <w:t>钢构公司—铜基新材料项目不锈钢装饰面板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采取</w:t>
      </w:r>
      <w:r>
        <w:rPr>
          <w:rFonts w:hint="eastAsia" w:ascii="仿宋" w:hAnsi="仿宋" w:eastAsia="仿宋" w:cs="仿宋_GB2312"/>
          <w:sz w:val="24"/>
          <w:szCs w:val="24"/>
        </w:rPr>
        <w:t>公开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_GB2312"/>
          <w:sz w:val="24"/>
          <w:szCs w:val="24"/>
        </w:rPr>
        <w:t xml:space="preserve">。 </w:t>
      </w:r>
    </w:p>
    <w:p w14:paraId="6430D445">
      <w:pPr>
        <w:spacing w:line="360" w:lineRule="auto"/>
        <w:ind w:firstLine="490" w:firstLineChars="200"/>
        <w:rPr>
          <w:rFonts w:hint="eastAsia"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4"/>
          <w:szCs w:val="24"/>
        </w:rPr>
        <w:t>2、公开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询比采购采取不见面评审</w:t>
      </w:r>
      <w:r>
        <w:rPr>
          <w:rFonts w:hint="eastAsia" w:ascii="仿宋" w:hAnsi="仿宋" w:eastAsia="仿宋" w:cs="仿宋_GB2312"/>
          <w:sz w:val="24"/>
          <w:szCs w:val="24"/>
        </w:rPr>
        <w:t>。</w:t>
      </w:r>
    </w:p>
    <w:p w14:paraId="6B5B15B2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136E7B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日程安排</w:t>
      </w:r>
    </w:p>
    <w:p w14:paraId="42C34FAA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42933E01">
      <w:pPr>
        <w:numPr>
          <w:ilvl w:val="0"/>
          <w:numId w:val="0"/>
        </w:num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递交地点：铜陵有色金属集团铜冠建筑安装股份有限公司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四楼</w:t>
      </w:r>
      <w:r>
        <w:rPr>
          <w:rFonts w:hint="eastAsia" w:ascii="仿宋" w:hAnsi="仿宋" w:eastAsia="仿宋" w:cs="仿宋"/>
          <w:sz w:val="24"/>
          <w:szCs w:val="24"/>
        </w:rPr>
        <w:t>经营部（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安徽省铜陵市黄山大道南段879号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 w14:paraId="092B7C0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3802829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</w:t>
      </w:r>
    </w:p>
    <w:p w14:paraId="607311A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通知书时间：另行通知</w:t>
      </w:r>
    </w:p>
    <w:p w14:paraId="0F765D2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、签订合同时间：另行通知</w:t>
      </w:r>
    </w:p>
    <w:p w14:paraId="1C406C1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F92B4BE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550A2106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b/>
          <w:sz w:val="24"/>
          <w:szCs w:val="24"/>
        </w:rPr>
        <w:t>内容</w:t>
      </w:r>
    </w:p>
    <w:p w14:paraId="5A80D491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C4BF0B2"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的具体内容如下：</w:t>
      </w:r>
      <w:r>
        <w:rPr>
          <w:rFonts w:hint="eastAsia" w:ascii="仿宋" w:hAnsi="仿宋" w:eastAsia="仿宋" w:cs="仿宋"/>
          <w:b w:val="0"/>
          <w:bCs w:val="0"/>
          <w:kern w:val="1"/>
          <w:sz w:val="24"/>
          <w:szCs w:val="24"/>
          <w:u w:val="single"/>
        </w:rPr>
        <w:t>钢构公司—铜基新材料项目电解工序、阳极板智能仓储控制室项目不锈钢装饰板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>（详见报价单）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49E51FB2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31353A30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说明：</w:t>
      </w:r>
    </w:p>
    <w:p w14:paraId="47CAB540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该次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数</w:t>
      </w:r>
      <w:r>
        <w:rPr>
          <w:rFonts w:hint="eastAsia" w:ascii="仿宋" w:hAnsi="仿宋" w:eastAsia="仿宋" w:cs="仿宋"/>
          <w:sz w:val="24"/>
          <w:szCs w:val="24"/>
        </w:rPr>
        <w:t>量为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在现有条件下核定的大约数量，此数量仅作为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和签订合同数量的依据，不作为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人最终供货结算数量的依据，最终供货结算数量的增减丝毫不影响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none"/>
        </w:rPr>
        <w:t>报</w:t>
      </w:r>
      <w:r>
        <w:rPr>
          <w:rFonts w:hint="eastAsia" w:ascii="仿宋" w:hAnsi="仿宋" w:eastAsia="仿宋" w:cs="仿宋"/>
          <w:sz w:val="24"/>
          <w:szCs w:val="24"/>
        </w:rPr>
        <w:t>价的效力。</w:t>
      </w:r>
    </w:p>
    <w:p w14:paraId="2E25EFD3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4FC175A">
      <w:p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68587E70">
      <w:pPr>
        <w:pStyle w:val="2"/>
        <w:rPr>
          <w:rFonts w:hint="eastAsia"/>
          <w:lang w:eastAsia="zh-CN"/>
        </w:rPr>
      </w:pPr>
    </w:p>
    <w:p w14:paraId="45302D1C">
      <w:pPr>
        <w:pStyle w:val="2"/>
        <w:rPr>
          <w:rFonts w:hint="eastAsia"/>
          <w:lang w:eastAsia="zh-CN"/>
        </w:rPr>
      </w:pPr>
    </w:p>
    <w:p w14:paraId="4131BCF9">
      <w:pPr>
        <w:pStyle w:val="154"/>
        <w:numPr>
          <w:ilvl w:val="0"/>
          <w:numId w:val="2"/>
        </w:numPr>
        <w:spacing w:line="360" w:lineRule="auto"/>
        <w:ind w:firstLine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人资格要求</w:t>
      </w:r>
    </w:p>
    <w:p w14:paraId="66146CA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19592C5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1、在中华人民共和国境内依法经国家工商、税务机关登记注册。</w:t>
      </w:r>
    </w:p>
    <w:p w14:paraId="68DCAC1A">
      <w:pPr>
        <w:spacing w:line="360" w:lineRule="auto"/>
        <w:ind w:left="56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须为一般纳税人或小规模纳税人。</w:t>
      </w:r>
    </w:p>
    <w:p w14:paraId="0EF8100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提供的相关资质证件均须在年审有效期内。</w:t>
      </w:r>
    </w:p>
    <w:p w14:paraId="277D64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营业执照所列示的经营范围必须涵盖本次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材料品种。</w:t>
      </w:r>
    </w:p>
    <w:p w14:paraId="5A83D6AC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5、有生产经营和安全许可要求的，必须有相应有效的许可证。</w:t>
      </w:r>
    </w:p>
    <w:p w14:paraId="55C99E5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近三年无重大失信和违法、违纪行为等不良记录。</w:t>
      </w:r>
    </w:p>
    <w:p w14:paraId="417F608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7F753A6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925AB7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公告</w:t>
      </w:r>
      <w:r>
        <w:rPr>
          <w:rFonts w:hint="eastAsia" w:ascii="仿宋" w:hAnsi="仿宋" w:eastAsia="仿宋" w:cs="仿宋"/>
          <w:b/>
          <w:sz w:val="24"/>
          <w:szCs w:val="24"/>
        </w:rPr>
        <w:t>发布的媒介及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sz w:val="24"/>
          <w:szCs w:val="24"/>
        </w:rPr>
        <w:t>公告的获取</w:t>
      </w:r>
    </w:p>
    <w:p w14:paraId="69F814A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9AA0B93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公告（包括后期如有对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文件所作的澄清、修改等。）将在铜冠建筑安装股份有限公司网（http://www.tltgja.com.cn/）在线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--物资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上发布。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公告请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自行下载。</w:t>
      </w:r>
    </w:p>
    <w:p w14:paraId="5F5AD9D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信息均以以上网站发布为准，其它任何形式的内容不作为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采购公告</w:t>
      </w:r>
      <w:r>
        <w:rPr>
          <w:rFonts w:hint="eastAsia" w:ascii="仿宋" w:hAnsi="仿宋" w:eastAsia="仿宋" w:cs="仿宋"/>
          <w:sz w:val="24"/>
          <w:szCs w:val="24"/>
        </w:rPr>
        <w:t>以及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的依据。</w:t>
      </w:r>
    </w:p>
    <w:p w14:paraId="2830677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2B92887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五、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报名</w:t>
      </w:r>
    </w:p>
    <w:p w14:paraId="6664E20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6B4F33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需在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采购公告发布截止日</w:t>
      </w:r>
      <w:r>
        <w:rPr>
          <w:rFonts w:hint="eastAsia" w:ascii="仿宋" w:hAnsi="仿宋" w:eastAsia="仿宋" w:cs="仿宋"/>
          <w:sz w:val="24"/>
          <w:szCs w:val="24"/>
        </w:rPr>
        <w:t>前至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物资供应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部报名。</w:t>
      </w:r>
    </w:p>
    <w:p w14:paraId="5153372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2、报名时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需提供报名资料。</w:t>
      </w:r>
      <w:r>
        <w:rPr>
          <w:rFonts w:hint="eastAsia" w:ascii="仿宋" w:hAnsi="仿宋" w:eastAsia="仿宋" w:cs="仿宋"/>
          <w:sz w:val="24"/>
          <w:szCs w:val="24"/>
          <w:u w:val="single"/>
        </w:rPr>
        <w:t>报名资料包括营业执照副本的复印件、法人身份证复印件（经办人不是法人代表的要提供法人代表授权委托书、代理人身份证复印件）等，以上资料须加盖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  <w:u w:val="single"/>
        </w:rPr>
        <w:t>公章（原章）。</w:t>
      </w:r>
    </w:p>
    <w:p w14:paraId="522326C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3、报名自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公告发布之日起至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日1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: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  <w:u w:val="single"/>
        </w:rPr>
        <w:t>0止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31E9AE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4、报名地点：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铜冠建筑安装股份有限公司四楼物资供应部，也可通过网络形式报名，将相关资料通过网络发给报名联系人。</w:t>
      </w:r>
    </w:p>
    <w:p w14:paraId="3DD0502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5、联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eastAsia="zh-CN"/>
        </w:rPr>
        <w:t>贾杰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（1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  <w:t>3965211845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</w:rPr>
        <w:t>）</w:t>
      </w:r>
    </w:p>
    <w:p w14:paraId="72AD86C0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227FBAE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4"/>
          <w:szCs w:val="24"/>
        </w:rPr>
        <w:t xml:space="preserve">六、 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b/>
          <w:sz w:val="24"/>
          <w:szCs w:val="24"/>
        </w:rPr>
        <w:t>的递交</w:t>
      </w:r>
    </w:p>
    <w:p w14:paraId="56BE90E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7B8734E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文件递交的截止时间：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日9:00</w:t>
      </w:r>
    </w:p>
    <w:p w14:paraId="1BB0634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文件递交地点：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铜冠建筑安装股份有限公司四楼经营部（安徽省铜陵市黄山大道南段879号）</w:t>
      </w:r>
    </w:p>
    <w:p w14:paraId="4F3340E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103DE713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4、逾期送达的或未按规定送达指定地点的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文件，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询比采购人</w:t>
      </w:r>
      <w:r>
        <w:rPr>
          <w:rFonts w:hint="eastAsia" w:ascii="仿宋" w:hAnsi="仿宋" w:eastAsia="仿宋" w:cs="仿宋"/>
          <w:sz w:val="24"/>
          <w:szCs w:val="24"/>
        </w:rPr>
        <w:t>不予受理。</w:t>
      </w:r>
    </w:p>
    <w:p w14:paraId="6AF2A253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</w:p>
    <w:p w14:paraId="60B7562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须知</w:t>
      </w:r>
    </w:p>
    <w:p w14:paraId="04F7A99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5B690FEE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1、与本次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材料的质量相关要求</w:t>
      </w:r>
    </w:p>
    <w:p w14:paraId="4C6C8340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（1）材料质量要求: 提供的材料必须符合技术指标要求（详见报价单）。</w:t>
      </w:r>
    </w:p>
    <w:p w14:paraId="4AB73E2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）若达不到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人要求的，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无条件将该批货物拉回且不计货款，动用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人机械的收取相应费用。</w:t>
      </w:r>
    </w:p>
    <w:p w14:paraId="032DAF39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2、付款方式</w:t>
      </w:r>
    </w:p>
    <w:p w14:paraId="15E6B7BE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详见报价单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080D865B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3、报价相关要求</w:t>
      </w:r>
    </w:p>
    <w:p w14:paraId="4C4E8926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报价均为含税（税率必须注明）、含运费价。</w:t>
      </w:r>
    </w:p>
    <w:p w14:paraId="27B38102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在报价前应仔细审阅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公告、报价表及报价说明等与此次报价相关的所有资料。报价要谨慎，一旦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确定为成交人</w:t>
      </w:r>
      <w:r>
        <w:rPr>
          <w:rFonts w:hint="eastAsia" w:ascii="仿宋" w:hAnsi="仿宋" w:eastAsia="仿宋" w:cs="仿宋"/>
          <w:sz w:val="24"/>
          <w:szCs w:val="24"/>
        </w:rPr>
        <w:t>，视为理解并考虑了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询比采购单位</w:t>
      </w:r>
      <w:r>
        <w:rPr>
          <w:rFonts w:hint="eastAsia" w:ascii="仿宋" w:hAnsi="仿宋" w:eastAsia="仿宋" w:cs="仿宋"/>
          <w:sz w:val="24"/>
          <w:szCs w:val="24"/>
        </w:rPr>
        <w:t>要求的报价，不得以任何理由变更。</w:t>
      </w:r>
    </w:p>
    <w:p w14:paraId="3CBA380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相关要求</w:t>
      </w:r>
    </w:p>
    <w:p w14:paraId="0F0F6BA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法定代表人应在报价单相应位置签字及加盖公章，如经办人不是法人代表，须提供本人身份证复印件、法定代表人身份证复印件及有法人代表签字的《法人代表授权书》、廉洁承诺书，以上资料须加盖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单位公章（原章）并作为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资料的一部分。以上事项不符合要求的视为无效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37A44DE1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文件密封袋封口处应密封完整，加盖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单位公章，并且注明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询价采购</w:t>
      </w:r>
      <w:r>
        <w:rPr>
          <w:rFonts w:hint="eastAsia" w:ascii="仿宋" w:hAnsi="仿宋" w:eastAsia="仿宋" w:cs="仿宋"/>
          <w:sz w:val="24"/>
          <w:szCs w:val="24"/>
        </w:rPr>
        <w:t>编号及材料名称。因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制作、密封、寄送报价文件不符合要求的视为无效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7622467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首次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时需提供加盖公章的营业执照副本的复印件及其它资质资料。</w:t>
      </w:r>
    </w:p>
    <w:p w14:paraId="37A8E461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5、交货地点</w:t>
      </w:r>
    </w:p>
    <w:p w14:paraId="5EE24330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材料送至报价单备注的指定地点。</w:t>
      </w:r>
    </w:p>
    <w:p w14:paraId="1244F09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的材料由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  <w:u w:val="single"/>
        </w:rPr>
        <w:t>负责运输。运输过程中未按相关安全、环保等要求所导致的一切安全生产事故由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  <w:u w:val="single"/>
        </w:rPr>
        <w:t>承担责任。</w:t>
      </w:r>
    </w:p>
    <w:p w14:paraId="5DC2080A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7、供货数量验收确认方式：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以实际到货验收数量为准。</w:t>
      </w:r>
    </w:p>
    <w:p w14:paraId="4A01B367">
      <w:pPr>
        <w:pStyle w:val="2"/>
        <w:spacing w:line="360" w:lineRule="auto"/>
        <w:ind w:left="0" w:leftChars="0" w:firstLine="0" w:firstLineChars="0"/>
        <w:rPr>
          <w:rFonts w:hint="eastAsia" w:ascii="仿宋" w:hAnsi="仿宋" w:eastAsia="仿宋" w:cs="仿宋"/>
          <w:b/>
          <w:sz w:val="24"/>
          <w:szCs w:val="24"/>
        </w:rPr>
      </w:pPr>
    </w:p>
    <w:p w14:paraId="0F2FD05F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八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b/>
          <w:sz w:val="24"/>
          <w:szCs w:val="24"/>
        </w:rPr>
        <w:t>及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b/>
          <w:sz w:val="24"/>
          <w:szCs w:val="24"/>
        </w:rPr>
        <w:t>履约要求</w:t>
      </w:r>
    </w:p>
    <w:p w14:paraId="3AA773CC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4BE5E7F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由铜冠建安公司纪委随机临时确定评委并组建的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负责。</w:t>
      </w:r>
    </w:p>
    <w:p w14:paraId="005422C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原则：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活动遵循公平、公正、科学和择优的原则。</w:t>
      </w:r>
    </w:p>
    <w:p w14:paraId="7228F4D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以价格为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依据，采取“合理低价法”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。即以经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审核，剔除偏离市场行情较大的恶意报价后的报价进行排序，其中价格最低的报价单位为预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成交人。</w:t>
      </w:r>
    </w:p>
    <w:p w14:paraId="3242E2F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候选人推荐：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结果推荐一名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候选人。</w:t>
      </w:r>
    </w:p>
    <w:p w14:paraId="2269DF7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以书面形式向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人发出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通知书。</w:t>
      </w:r>
    </w:p>
    <w:p w14:paraId="173FE63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人应当自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通知书发出之日起三十日内，按照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订立书面合同，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不得再行订立背离本次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采购公告</w:t>
      </w:r>
      <w:r>
        <w:rPr>
          <w:rFonts w:hint="eastAsia" w:ascii="仿宋" w:hAnsi="仿宋" w:eastAsia="仿宋" w:cs="仿宋"/>
          <w:sz w:val="24"/>
          <w:szCs w:val="24"/>
        </w:rPr>
        <w:t>实质性内容的其他协议。</w:t>
      </w:r>
    </w:p>
    <w:p w14:paraId="7D90579B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05712791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九、</w:t>
      </w:r>
      <w:r>
        <w:rPr>
          <w:rFonts w:hint="eastAsia" w:ascii="仿宋" w:hAnsi="仿宋" w:eastAsia="仿宋" w:cs="仿宋"/>
          <w:b/>
          <w:sz w:val="24"/>
          <w:szCs w:val="24"/>
        </w:rPr>
        <w:t>纪律和监督</w:t>
      </w:r>
    </w:p>
    <w:p w14:paraId="2BF9956F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1DA6504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不得泄漏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</w:t>
      </w:r>
      <w:r>
        <w:rPr>
          <w:rFonts w:hint="eastAsia" w:ascii="仿宋" w:hAnsi="仿宋" w:eastAsia="仿宋" w:cs="仿宋"/>
          <w:sz w:val="24"/>
          <w:szCs w:val="24"/>
        </w:rPr>
        <w:t>活动中应当保密的情况和资料，不得与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串通损害公司利益或者他人合法权益。</w:t>
      </w:r>
    </w:p>
    <w:p w14:paraId="48586315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，不得向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成员行贿谋取中标，不得以他人名义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不得以任何方式干扰、影响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工作。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有上述行为的，</w:t>
      </w:r>
      <w:r>
        <w:rPr>
          <w:rFonts w:hint="eastAsia" w:ascii="仿宋" w:hAnsi="仿宋" w:eastAsia="仿宋" w:cs="仿宋"/>
          <w:sz w:val="24"/>
          <w:szCs w:val="24"/>
          <w:u w:val="single"/>
        </w:rPr>
        <w:t>一经确认将取消其今后参加我公司的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  <w:u w:val="single"/>
        </w:rPr>
        <w:t>资格，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并</w:t>
      </w:r>
      <w:r>
        <w:rPr>
          <w:rFonts w:hint="eastAsia" w:ascii="仿宋" w:hAnsi="仿宋" w:eastAsia="仿宋" w:cs="仿宋"/>
          <w:sz w:val="24"/>
          <w:szCs w:val="24"/>
          <w:u w:val="single"/>
        </w:rPr>
        <w:t>列入供应商黑名单。</w:t>
      </w:r>
    </w:p>
    <w:p w14:paraId="3C0E8C5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00522D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63B04AB">
      <w:pPr>
        <w:pStyle w:val="2"/>
        <w:rPr>
          <w:rFonts w:hint="eastAsia"/>
        </w:rPr>
      </w:pPr>
    </w:p>
    <w:p w14:paraId="60E55272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十、法定代表人授权书</w:t>
      </w:r>
    </w:p>
    <w:p w14:paraId="287C5B0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9BB47B6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本授权书声明：我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（姓名）</w:t>
      </w:r>
      <w:r>
        <w:rPr>
          <w:rFonts w:hint="eastAsia" w:ascii="仿宋" w:hAnsi="仿宋" w:eastAsia="仿宋" w:cs="仿宋"/>
          <w:sz w:val="24"/>
          <w:szCs w:val="24"/>
        </w:rPr>
        <w:t>系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</w:t>
      </w:r>
      <w:r>
        <w:rPr>
          <w:rFonts w:hint="eastAsia" w:ascii="仿宋" w:hAnsi="仿宋" w:eastAsia="仿宋" w:cs="仿宋"/>
          <w:sz w:val="24"/>
          <w:szCs w:val="24"/>
        </w:rPr>
        <w:t>的法定代表人，现授权委托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（单位名称）（被授权委托人姓名 ）</w:t>
      </w:r>
      <w:r>
        <w:rPr>
          <w:rFonts w:hint="eastAsia" w:ascii="仿宋" w:hAnsi="仿宋" w:eastAsia="仿宋" w:cs="仿宋"/>
          <w:sz w:val="24"/>
          <w:szCs w:val="24"/>
        </w:rPr>
        <w:t>为本公司合法代表人，就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 xml:space="preserve">，以本公司名义处理一切与之有关的事务。 </w:t>
      </w:r>
    </w:p>
    <w:p w14:paraId="1A9089A3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52C5B25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本授权书于______年___ 月___ 日签字生效， 特此声明。 </w:t>
      </w:r>
    </w:p>
    <w:p w14:paraId="75D30EAC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19DCF44C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代理人情况：</w:t>
      </w:r>
    </w:p>
    <w:p w14:paraId="42BEA66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CC7A67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姓名：__________________   职务/职称：____________________</w:t>
      </w:r>
    </w:p>
    <w:p w14:paraId="2A7C3F56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地址：__________________   邮编：_________________________</w:t>
      </w:r>
    </w:p>
    <w:p w14:paraId="3D717B5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电话：__________________   传真：_________________________</w:t>
      </w:r>
    </w:p>
    <w:p w14:paraId="6C58F8CE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C242C6A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</w:p>
    <w:p w14:paraId="32F4BA7E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法定代表人签字：_______________ </w:t>
      </w:r>
    </w:p>
    <w:p w14:paraId="0AAAF0D5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单位盖章：_____________________</w:t>
      </w:r>
    </w:p>
    <w:p w14:paraId="4ABB8CAA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6A8B3764">
      <w:pPr>
        <w:spacing w:before="156" w:beforeLines="50" w:after="156" w:afterLines="50" w:line="360" w:lineRule="auto"/>
        <w:ind w:firstLine="5635" w:firstLineChars="23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 w14:paraId="3B46AFA9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2500386A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147E7C5B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1461B0D8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7F73C3A1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B8FC3C9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sz w:val="24"/>
          <w:szCs w:val="24"/>
        </w:rPr>
        <w:t>、廉洁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承诺书</w:t>
      </w:r>
    </w:p>
    <w:p w14:paraId="4ADE626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A217D9E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我单位于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日参与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，为加强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管理和廉政建设，防止发生各种谋取不正当利益的违法违纪行为、规范双方的各项活动，保护当事人及所属公司的合法权益，供方承诺：</w:t>
      </w:r>
    </w:p>
    <w:p w14:paraId="2718F061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人串通；</w:t>
      </w:r>
    </w:p>
    <w:p w14:paraId="12F535A4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不正当利益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790B941A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不正当利益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541B4575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询比采购人</w:t>
      </w:r>
      <w:r>
        <w:rPr>
          <w:rFonts w:hint="eastAsia" w:ascii="仿宋" w:hAnsi="仿宋" w:eastAsia="仿宋" w:cs="仿宋"/>
          <w:sz w:val="24"/>
          <w:szCs w:val="24"/>
        </w:rPr>
        <w:t>及有关人员提供任何形式的财、物及请吃消费；</w:t>
      </w:r>
    </w:p>
    <w:p w14:paraId="00599D39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 w14:paraId="0EA87783">
      <w:pPr>
        <w:spacing w:line="360" w:lineRule="auto"/>
        <w:ind w:firstLine="49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</w:p>
    <w:p w14:paraId="7E332DB9">
      <w:pPr>
        <w:spacing w:line="360" w:lineRule="auto"/>
        <w:ind w:firstLine="4655" w:firstLineChars="1900"/>
        <w:rPr>
          <w:rFonts w:hint="eastAsia" w:ascii="仿宋" w:hAnsi="仿宋" w:eastAsia="仿宋" w:cs="仿宋"/>
          <w:sz w:val="24"/>
          <w:szCs w:val="24"/>
        </w:rPr>
      </w:pPr>
    </w:p>
    <w:p w14:paraId="0FA45DA9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承诺方签字:_________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</w:p>
    <w:p w14:paraId="2AABD8F8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单位盖章 ：                    </w:t>
      </w:r>
    </w:p>
    <w:p w14:paraId="4D4DECCC">
      <w:pPr>
        <w:spacing w:line="360" w:lineRule="auto"/>
        <w:ind w:firstLine="1960" w:firstLineChars="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</w:t>
      </w:r>
    </w:p>
    <w:sectPr>
      <w:headerReference r:id="rId6" w:type="default"/>
      <w:pgSz w:w="11906" w:h="16838"/>
      <w:pgMar w:top="1417" w:right="1338" w:bottom="1417" w:left="1468" w:header="851" w:footer="272" w:gutter="283"/>
      <w:cols w:space="0" w:num="1"/>
      <w:rtlGutter w:val="0"/>
      <w:docGrid w:type="linesAndChars" w:linePitch="312" w:charSpace="1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