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rPr>
        <w:t>钢构公司-</w:t>
      </w:r>
      <w:r>
        <w:rPr>
          <w:rFonts w:hint="eastAsia" w:asciiTheme="minorEastAsia" w:hAnsiTheme="minorEastAsia" w:eastAsiaTheme="minorEastAsia" w:cstheme="minorEastAsia"/>
          <w:b/>
          <w:bCs/>
          <w:sz w:val="40"/>
          <w:szCs w:val="40"/>
          <w:lang w:val="en-US" w:eastAsia="zh-CN"/>
        </w:rPr>
        <w:t>铜山项目镀锌钢格栅</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056</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4</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7</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本次招标的具体内容如下（详见报价单）：钢构公司-</w:t>
      </w:r>
      <w:r>
        <w:rPr>
          <w:rFonts w:hint="eastAsia" w:asciiTheme="minorEastAsia" w:hAnsiTheme="minorEastAsia" w:eastAsiaTheme="minorEastAsia" w:cstheme="minorEastAsia"/>
          <w:sz w:val="28"/>
          <w:szCs w:val="28"/>
          <w:u w:val="single"/>
          <w:lang w:val="en-US" w:eastAsia="zh-CN"/>
        </w:rPr>
        <w:t>铜山项目镀锌钢格栅226.32平方</w:t>
      </w:r>
      <w:r>
        <w:rPr>
          <w:rFonts w:hint="eastAsia" w:asciiTheme="minorEastAsia" w:hAnsiTheme="minorEastAsia" w:eastAsiaTheme="minorEastAsia" w:cstheme="minorEastAsia"/>
          <w:sz w:val="28"/>
          <w:szCs w:val="28"/>
          <w:u w:val="single"/>
        </w:rPr>
        <w:t>。</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bookmarkStart w:id="0" w:name="_GoBack"/>
      <w:bookmarkEnd w:id="0"/>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12</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合同签订，货到验收合格后收到发票入账，次月支付40%，年底支付不低于总货款的80%，剩余20%后两年内付清。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center"/>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before="156" w:beforeLines="50" w:after="156" w:afterLines="50" w:line="360" w:lineRule="auto"/>
        <w:ind w:firstLine="6440" w:firstLineChars="2300"/>
        <w:rPr>
          <w:rFonts w:asciiTheme="minorEastAsia" w:hAnsiTheme="minorEastAsia" w:eastAsiaTheme="minorEastAsia" w:cstheme="minorEastAsia"/>
          <w:sz w:val="28"/>
          <w:szCs w:val="28"/>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Theme="minorEastAsia" w:hAnsiTheme="minorEastAsia" w:eastAsiaTheme="minorEastAsia" w:cstheme="minorEastAsia"/>
          <w:color w:val="000000"/>
          <w:sz w:val="28"/>
          <w:szCs w:val="28"/>
          <w:u w:val="single"/>
        </w:rPr>
      </w:pPr>
    </w:p>
    <w:p>
      <w:pPr>
        <w:spacing w:line="520" w:lineRule="exact"/>
        <w:ind w:firstLine="5320" w:firstLineChars="1900"/>
        <w:rPr>
          <w:rFonts w:asciiTheme="minorEastAsia" w:hAnsiTheme="minorEastAsia" w:eastAsiaTheme="minorEastAsia" w:cstheme="minorEastAsia"/>
          <w:sz w:val="28"/>
          <w:szCs w:val="28"/>
        </w:rPr>
      </w:pPr>
    </w:p>
    <w:p>
      <w:pPr>
        <w:spacing w:line="520" w:lineRule="exact"/>
        <w:ind w:firstLine="504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40" w:firstLineChars="800"/>
        <w:rPr>
          <w:rFonts w:hint="eastAsia" w:asciiTheme="minorEastAsia" w:hAnsiTheme="minorEastAsia" w:eastAsiaTheme="minorEastAsia" w:cstheme="minorEastAsia"/>
          <w:sz w:val="28"/>
          <w:szCs w:val="28"/>
          <w:u w:val="single"/>
          <w:lang w:eastAsia="zh-CN"/>
        </w:rPr>
        <w:sectPr>
          <w:headerReference r:id="rId6" w:type="default"/>
          <w:pgSz w:w="11906" w:h="16838"/>
          <w:pgMar w:top="312" w:right="1469" w:bottom="709" w:left="1338" w:header="851" w:footer="273" w:gutter="284"/>
          <w:cols w:space="720" w:num="1"/>
          <w:docGrid w:type="lines" w:linePitch="312" w:charSpace="0"/>
        </w:sectPr>
      </w:pPr>
      <w:r>
        <w:rPr>
          <w:rFonts w:hint="eastAsia" w:asciiTheme="minorEastAsia" w:hAnsiTheme="minorEastAsia" w:eastAsiaTheme="minorEastAsia" w:cstheme="minorEastAsia"/>
          <w:sz w:val="28"/>
          <w:szCs w:val="28"/>
        </w:rPr>
        <w:t xml:space="preserve">                   </w:t>
      </w:r>
    </w:p>
    <w:p>
      <w:pPr>
        <w:spacing w:line="600" w:lineRule="exact"/>
        <w:rPr>
          <w:rFonts w:asciiTheme="minorEastAsia" w:hAnsiTheme="minorEastAsia" w:eastAsiaTheme="minorEastAsia" w:cstheme="minorEastAsia"/>
          <w:sz w:val="28"/>
          <w:szCs w:val="28"/>
          <w:u w:val="single"/>
        </w:rPr>
      </w:pPr>
    </w:p>
    <w:sectPr>
      <w:pgSz w:w="16838" w:h="11906" w:orient="landscape"/>
      <w:pgMar w:top="1469" w:right="709" w:bottom="1338" w:left="312"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