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宋体"/>
          <w:b/>
          <w:bCs/>
          <w:sz w:val="44"/>
          <w:szCs w:val="44"/>
          <w:u w:val="single"/>
        </w:rPr>
      </w:pPr>
    </w:p>
    <w:p>
      <w:pPr>
        <w:jc w:val="center"/>
        <w:rPr>
          <w:rFonts w:ascii="仿宋" w:hAnsi="仿宋" w:eastAsia="仿宋" w:cs="宋体"/>
          <w:b/>
          <w:bCs/>
          <w:sz w:val="44"/>
          <w:szCs w:val="44"/>
          <w:highlight w:val="none"/>
          <w:u w:val="single"/>
        </w:rPr>
      </w:pPr>
      <w:r>
        <w:rPr>
          <w:rFonts w:hint="eastAsia" w:ascii="仿宋" w:hAnsi="仿宋" w:eastAsia="仿宋" w:cs="宋体"/>
          <w:b/>
          <w:bCs/>
          <w:sz w:val="44"/>
          <w:szCs w:val="44"/>
          <w:highlight w:val="none"/>
          <w:u w:val="single"/>
        </w:rPr>
        <w:t>铜冠建安公司一般工业固体废物处置</w:t>
      </w:r>
    </w:p>
    <w:p>
      <w:pPr>
        <w:pStyle w:val="136"/>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ascii="仿宋" w:hAnsi="仿宋" w:eastAsia="仿宋" w:cs="仿宋_GB2312"/>
          <w:b/>
          <w:bCs/>
          <w:color w:val="FF0000"/>
          <w:sz w:val="32"/>
          <w:szCs w:val="32"/>
          <w:u w:val="single"/>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TGJA-WZ-202312</w:t>
      </w:r>
    </w:p>
    <w:p>
      <w:pPr>
        <w:rPr>
          <w:rFonts w:ascii="仿宋" w:hAnsi="仿宋" w:eastAsia="仿宋" w:cs="仿宋_GB2312"/>
          <w:b/>
          <w:bCs/>
          <w:sz w:val="32"/>
          <w:szCs w:val="32"/>
          <w:u w:val="single"/>
        </w:rPr>
      </w:pPr>
    </w:p>
    <w:p>
      <w:pPr>
        <w:rPr>
          <w:rFonts w:ascii="仿宋" w:hAnsi="仿宋" w:eastAsia="仿宋" w:cs="仿宋_GB2312"/>
          <w:b/>
          <w:bCs/>
          <w:sz w:val="32"/>
          <w:szCs w:val="32"/>
          <w:highlight w:val="yellow"/>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2023年02月10日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招 标 人: 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徐苑（</w:t>
      </w:r>
      <w:r>
        <w:rPr>
          <w:rFonts w:ascii="仿宋" w:hAnsi="仿宋" w:eastAsia="仿宋" w:cs="仿宋_GB2312"/>
          <w:b/>
          <w:bCs/>
          <w:sz w:val="32"/>
          <w:szCs w:val="32"/>
          <w:u w:val="single"/>
        </w:rPr>
        <w:t>1</w:t>
      </w:r>
      <w:r>
        <w:rPr>
          <w:rFonts w:hint="eastAsia" w:ascii="仿宋" w:hAnsi="仿宋" w:eastAsia="仿宋" w:cs="仿宋_GB2312"/>
          <w:b/>
          <w:bCs/>
          <w:sz w:val="32"/>
          <w:szCs w:val="32"/>
          <w:u w:val="single"/>
        </w:rPr>
        <w:t>3856252433）</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pStyle w:val="2"/>
      </w:pPr>
    </w:p>
    <w:p>
      <w:pPr>
        <w:rPr>
          <w:rFonts w:ascii="仿宋" w:hAnsi="仿宋" w:eastAsia="仿宋" w:cs="仿宋_GB2312"/>
          <w:b/>
          <w:bCs/>
          <w:sz w:val="32"/>
          <w:szCs w:val="32"/>
          <w:u w:val="single"/>
        </w:rPr>
      </w:pPr>
    </w:p>
    <w:p>
      <w:pPr>
        <w:rPr>
          <w:rFonts w:ascii="仿宋" w:hAnsi="仿宋" w:eastAsia="仿宋" w:cs="仿宋_GB2312"/>
          <w:b/>
          <w:bCs/>
          <w:sz w:val="28"/>
          <w:szCs w:val="28"/>
        </w:rPr>
      </w:pPr>
    </w:p>
    <w:p>
      <w:pPr>
        <w:rPr>
          <w:rFonts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陵有色金属集团铜冠建筑安装股份有限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2、公开招标（竞价）在铜陵有色金属集团铜冠建筑安装股份有限公司纪委监督下进行。</w:t>
      </w: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2023年02月10日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2023年02月16日9:00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3、投标文件递交地点：铜陵有色金属集团铜冠建筑安装股份有限公司经营部（铜陵市翠湖三路黄山大道879号建安公司办公楼四楼）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2023年02月16日9:00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本次招标处置的具体内容：</w:t>
      </w:r>
      <w:r>
        <w:rPr>
          <w:rFonts w:hint="eastAsia" w:ascii="仿宋" w:hAnsi="仿宋" w:eastAsia="仿宋" w:cs="仿宋_GB2312"/>
          <w:sz w:val="28"/>
          <w:szCs w:val="28"/>
          <w:highlight w:val="none"/>
          <w:u w:val="single"/>
        </w:rPr>
        <w:t>一般工业固体废物（不包</w:t>
      </w:r>
      <w:r>
        <w:rPr>
          <w:rFonts w:hint="eastAsia" w:ascii="仿宋" w:hAnsi="仿宋" w:eastAsia="仿宋" w:cs="仿宋_GB2312"/>
          <w:sz w:val="28"/>
          <w:szCs w:val="28"/>
          <w:highlight w:val="none"/>
          <w:u w:val="single"/>
          <w:lang w:val="en-US" w:eastAsia="zh-CN"/>
        </w:rPr>
        <w:t>括</w:t>
      </w:r>
      <w:r>
        <w:rPr>
          <w:rFonts w:hint="eastAsia" w:ascii="仿宋" w:hAnsi="仿宋" w:eastAsia="仿宋" w:cs="仿宋_GB2312"/>
          <w:sz w:val="28"/>
          <w:szCs w:val="28"/>
          <w:highlight w:val="none"/>
          <w:u w:val="single"/>
        </w:rPr>
        <w:t>废金属，包含但不限于废木材及相关制品、废塑料及相关制品、废橡胶及相关制品、废玻璃、废焊渣、保温材料） 约</w:t>
      </w:r>
      <w:r>
        <w:rPr>
          <w:rFonts w:hint="eastAsia" w:ascii="仿宋" w:hAnsi="仿宋" w:eastAsia="仿宋" w:cs="仿宋_GB2312"/>
          <w:sz w:val="28"/>
          <w:szCs w:val="28"/>
          <w:highlight w:val="none"/>
          <w:u w:val="single"/>
          <w:lang w:val="en-US" w:eastAsia="zh-CN"/>
        </w:rPr>
        <w:t>50</w:t>
      </w:r>
      <w:r>
        <w:rPr>
          <w:rFonts w:hint="eastAsia" w:ascii="仿宋" w:hAnsi="仿宋" w:eastAsia="仿宋" w:cs="仿宋_GB2312"/>
          <w:sz w:val="28"/>
          <w:szCs w:val="28"/>
          <w:highlight w:val="none"/>
          <w:u w:val="single"/>
        </w:rPr>
        <w:t>吨（此数量为预估量，实际</w:t>
      </w:r>
      <w:r>
        <w:rPr>
          <w:rFonts w:hint="eastAsia" w:ascii="仿宋" w:hAnsi="仿宋" w:eastAsia="仿宋" w:cs="仿宋_GB2312"/>
          <w:sz w:val="28"/>
          <w:szCs w:val="28"/>
          <w:highlight w:val="none"/>
          <w:u w:val="single"/>
          <w:lang w:val="en-US" w:eastAsia="zh-CN"/>
        </w:rPr>
        <w:t>数量</w:t>
      </w:r>
      <w:r>
        <w:rPr>
          <w:rFonts w:hint="eastAsia" w:ascii="仿宋" w:hAnsi="仿宋" w:eastAsia="仿宋" w:cs="仿宋_GB2312"/>
          <w:sz w:val="28"/>
          <w:szCs w:val="28"/>
          <w:highlight w:val="none"/>
          <w:u w:val="single"/>
        </w:rPr>
        <w:t>以我单位铜陵铜冠建安新型环保科技有限公司过磅单为准）。</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2、投标人须为一般纳税人或小规模纳税人。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highlight w:val="none"/>
        </w:rPr>
      </w:pPr>
      <w:r>
        <w:rPr>
          <w:rFonts w:hint="eastAsia" w:ascii="仿宋" w:hAnsi="仿宋" w:eastAsia="仿宋" w:cs="仿宋_GB2312"/>
          <w:sz w:val="28"/>
          <w:szCs w:val="28"/>
        </w:rPr>
        <w:t>4、</w:t>
      </w:r>
      <w:r>
        <w:rPr>
          <w:rFonts w:hint="eastAsia" w:ascii="仿宋" w:hAnsi="仿宋" w:eastAsia="仿宋" w:cs="仿宋_GB2312"/>
          <w:sz w:val="28"/>
          <w:szCs w:val="28"/>
          <w:highlight w:val="none"/>
        </w:rPr>
        <w:t xml:space="preserve">本次招标不接受联合体投标。投标人营业执照范围应涵盖本标的物或具有本标的物相关经营许可、具有一般工业固体废物处置、经营相关许可证明、相关环评材料（例如：政府主管部门提供的相关环境影响审批意见）。 </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6、投标人近三年无重大失信和违法、违纪行为等不良记录。</w:t>
      </w:r>
    </w:p>
    <w:p>
      <w:pPr>
        <w:jc w:val="center"/>
        <w:rPr>
          <w:rFonts w:ascii="仿宋" w:hAnsi="仿宋" w:eastAsia="仿宋" w:cs="仿宋_GB2312"/>
          <w:b/>
          <w:sz w:val="36"/>
          <w:szCs w:val="36"/>
        </w:rPr>
      </w:pPr>
    </w:p>
    <w:p>
      <w:pPr>
        <w:jc w:val="both"/>
        <w:rPr>
          <w:rFonts w:hint="eastAsia" w:ascii="仿宋" w:hAnsi="仿宋" w:eastAsia="仿宋" w:cs="仿宋_GB2312"/>
          <w:b/>
          <w:sz w:val="36"/>
          <w:szCs w:val="36"/>
        </w:rPr>
      </w:pPr>
    </w:p>
    <w:p>
      <w:pPr>
        <w:jc w:val="both"/>
        <w:rPr>
          <w:rFonts w:hint="eastAsia" w:ascii="仿宋" w:hAnsi="仿宋" w:eastAsia="仿宋" w:cs="仿宋_GB2312"/>
          <w:b/>
          <w:sz w:val="36"/>
          <w:szCs w:val="36"/>
        </w:rPr>
      </w:pP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本次招标公告（包括后期如有对招标文件所作的澄清、修改等。）将在铜陵有色金属集团铜冠建筑安装股份有限公司网（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hint="eastAsia" w:ascii="仿宋" w:hAnsi="仿宋" w:eastAsia="仿宋" w:cs="仿宋_GB2312"/>
          <w:b/>
          <w:sz w:val="36"/>
          <w:szCs w:val="36"/>
        </w:rPr>
      </w:pPr>
    </w:p>
    <w:p>
      <w:pPr>
        <w:pStyle w:val="2"/>
      </w:pPr>
    </w:p>
    <w:p>
      <w:pPr>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jc w:val="center"/>
        <w:rPr>
          <w:rFonts w:ascii="仿宋" w:hAnsi="仿宋" w:eastAsia="仿宋" w:cs="仿宋_GB2312"/>
          <w:b/>
          <w:sz w:val="36"/>
          <w:szCs w:val="36"/>
        </w:rPr>
      </w:pPr>
    </w:p>
    <w:p>
      <w:pPr>
        <w:ind w:firstLine="565" w:firstLineChars="202"/>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b/>
          <w:bCs/>
          <w:sz w:val="28"/>
          <w:szCs w:val="28"/>
        </w:rPr>
        <w:t>各投标人需在报名截止时间之前至铜陵有色金属集团铜冠建筑安装股份有限公司报名。</w:t>
      </w:r>
      <w:r>
        <w:rPr>
          <w:rFonts w:hint="eastAsia" w:ascii="仿宋" w:hAnsi="仿宋" w:eastAsia="仿宋" w:cs="仿宋_GB2312"/>
          <w:b/>
          <w:bCs/>
          <w:color w:val="000000" w:themeColor="text1"/>
          <w:sz w:val="28"/>
          <w:szCs w:val="28"/>
          <w14:textFill>
            <w14:solidFill>
              <w14:schemeClr w14:val="tx1"/>
            </w14:solidFill>
          </w14:textFill>
        </w:rPr>
        <w:t>因投标人未在指定要求时间报名或未通过资格审查的视为无效投标。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营业执照副本复印件、法定代表人身份证复印件（经办人不是法定代表人的要提供法定代表人授权委托书、代理人身份证复印件）并加盖公章（原章）等资料。</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2023年02月15日17:00止</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铜陵有色金属集团铜冠建筑安装股份有限公司（铜陵市翠湖三路黄山大道879号四楼物资供应部）</w:t>
      </w:r>
    </w:p>
    <w:p>
      <w:pPr>
        <w:jc w:val="left"/>
        <w:rPr>
          <w:rFonts w:hint="eastAsia" w:ascii="仿宋" w:hAnsi="仿宋" w:eastAsia="仿宋" w:cs="仿宋_GB2312"/>
          <w:sz w:val="28"/>
          <w:szCs w:val="28"/>
          <w:u w:val="single"/>
        </w:rPr>
      </w:pPr>
      <w:r>
        <w:rPr>
          <w:rFonts w:hint="eastAsia" w:ascii="仿宋" w:hAnsi="仿宋" w:eastAsia="仿宋" w:cs="仿宋_GB2312"/>
          <w:sz w:val="28"/>
          <w:szCs w:val="28"/>
        </w:rPr>
        <w:t>5、联 系 人：</w:t>
      </w:r>
      <w:r>
        <w:rPr>
          <w:rFonts w:hint="eastAsia" w:ascii="仿宋" w:hAnsi="仿宋" w:eastAsia="仿宋" w:cs="仿宋_GB2312"/>
          <w:sz w:val="28"/>
          <w:szCs w:val="28"/>
          <w:u w:val="single"/>
        </w:rPr>
        <w:t>徐苑（13856252433）</w:t>
      </w:r>
    </w:p>
    <w:p>
      <w:pPr>
        <w:pStyle w:val="2"/>
      </w:pPr>
    </w:p>
    <w:p>
      <w:pPr>
        <w:jc w:val="center"/>
        <w:rPr>
          <w:rFonts w:ascii="仿宋_GB2312" w:hAnsi="宋体" w:eastAsia="仿宋_GB2312" w:cs="仿宋_GB2312"/>
          <w:b/>
          <w:sz w:val="36"/>
          <w:szCs w:val="36"/>
        </w:rPr>
      </w:pPr>
    </w:p>
    <w:p>
      <w:pPr>
        <w:spacing w:line="560" w:lineRule="exact"/>
        <w:jc w:val="center"/>
        <w:rPr>
          <w:rFonts w:ascii="仿宋_GB2312" w:hAnsi="宋体" w:eastAsia="仿宋_GB2312" w:cs="仿宋_GB2312"/>
          <w:b/>
          <w:sz w:val="36"/>
          <w:szCs w:val="36"/>
        </w:rPr>
      </w:pPr>
      <w:r>
        <w:rPr>
          <w:rFonts w:hint="eastAsia" w:ascii="仿宋_GB2312" w:hAnsi="宋体" w:eastAsia="仿宋_GB2312" w:cs="仿宋_GB2312"/>
          <w:b/>
          <w:sz w:val="36"/>
          <w:szCs w:val="36"/>
        </w:rPr>
        <w:t>六、保证金</w:t>
      </w:r>
    </w:p>
    <w:p>
      <w:pPr>
        <w:spacing w:line="560" w:lineRule="exact"/>
        <w:jc w:val="center"/>
        <w:rPr>
          <w:rFonts w:ascii="仿宋_GB2312" w:hAnsi="宋体" w:eastAsia="仿宋_GB2312" w:cs="仿宋_GB2312"/>
          <w:b/>
          <w:sz w:val="36"/>
          <w:szCs w:val="36"/>
        </w:rPr>
      </w:pPr>
    </w:p>
    <w:p>
      <w:pPr>
        <w:spacing w:line="560" w:lineRule="exact"/>
        <w:ind w:firstLine="560" w:firstLineChars="200"/>
        <w:jc w:val="left"/>
        <w:rPr>
          <w:rFonts w:ascii="仿宋_GB2312" w:hAnsi="仿宋_GB2312" w:eastAsia="仿宋_GB2312" w:cs="仿宋_GB2312"/>
          <w:b/>
          <w:bCs/>
          <w:color w:val="C00000"/>
          <w:sz w:val="28"/>
          <w:szCs w:val="28"/>
        </w:rPr>
      </w:pPr>
      <w:r>
        <w:rPr>
          <w:rFonts w:hint="eastAsia" w:ascii="仿宋_GB2312" w:hAnsi="仿宋_GB2312" w:eastAsia="仿宋_GB2312" w:cs="仿宋_GB2312"/>
          <w:sz w:val="28"/>
          <w:szCs w:val="28"/>
        </w:rPr>
        <w:t>1、为严肃和规范投标行为，确保投标的顺利以及中标后合同的有效执行，投标人须向招标人缴纳投标保证金</w:t>
      </w:r>
      <w:r>
        <w:rPr>
          <w:rFonts w:hint="eastAsia" w:ascii="仿宋_GB2312" w:hAnsi="仿宋_GB2312" w:eastAsia="仿宋_GB2312" w:cs="仿宋_GB2312"/>
          <w:b/>
          <w:bCs/>
          <w:sz w:val="28"/>
          <w:szCs w:val="28"/>
          <w:lang w:val="en-US" w:eastAsia="zh-CN"/>
        </w:rPr>
        <w:t>壹仟圆</w:t>
      </w:r>
      <w:r>
        <w:rPr>
          <w:rFonts w:hint="eastAsia" w:ascii="仿宋_GB2312" w:hAnsi="仿宋_GB2312" w:eastAsia="仿宋_GB2312" w:cs="仿宋_GB2312"/>
          <w:sz w:val="28"/>
          <w:szCs w:val="28"/>
        </w:rPr>
        <w:t>整。（</w:t>
      </w:r>
      <w:r>
        <w:rPr>
          <w:rFonts w:hint="eastAsia" w:ascii="仿宋_GB2312" w:hAnsi="仿宋_GB2312" w:eastAsia="仿宋_GB2312" w:cs="仿宋_GB2312"/>
          <w:sz w:val="28"/>
          <w:szCs w:val="28"/>
          <w:u w:val="single"/>
        </w:rPr>
        <w:t>投标文件内附汇款凭证复印件。）</w:t>
      </w:r>
      <w:r>
        <w:rPr>
          <w:rFonts w:hint="eastAsia" w:ascii="仿宋_GB2312" w:hAnsi="仿宋_GB2312" w:eastAsia="仿宋_GB2312" w:cs="仿宋_GB2312"/>
          <w:b/>
          <w:bCs/>
          <w:color w:val="FF0000"/>
          <w:sz w:val="28"/>
          <w:szCs w:val="28"/>
        </w:rPr>
        <w:t>投标保证金须对公账户转账，不接受私人账户转账</w:t>
      </w:r>
      <w:r>
        <w:rPr>
          <w:rFonts w:hint="eastAsia" w:ascii="仿宋_GB2312" w:hAnsi="仿宋_GB2312" w:eastAsia="仿宋_GB2312" w:cs="仿宋_GB2312"/>
          <w:sz w:val="28"/>
          <w:szCs w:val="28"/>
        </w:rPr>
        <w:t>，同时要求注明</w:t>
      </w:r>
      <w:r>
        <w:rPr>
          <w:rFonts w:hint="eastAsia" w:ascii="仿宋_GB2312" w:hAnsi="仿宋_GB2312" w:eastAsia="仿宋_GB2312" w:cs="仿宋_GB2312"/>
          <w:b/>
          <w:bCs/>
          <w:sz w:val="28"/>
          <w:szCs w:val="28"/>
          <w:u w:val="single"/>
        </w:rPr>
        <w:t>TGJA-WZ-202312铜冠建安公司一般工业固体废物处理投标保证金。</w:t>
      </w:r>
    </w:p>
    <w:p>
      <w:pPr>
        <w:spacing w:line="560" w:lineRule="exact"/>
        <w:ind w:firstLine="562" w:firstLineChars="200"/>
        <w:jc w:val="left"/>
        <w:rPr>
          <w:rFonts w:ascii="仿宋_GB2312" w:hAnsi="仿宋_GB2312" w:eastAsia="仿宋_GB2312" w:cs="仿宋_GB2312"/>
          <w:b/>
          <w:bCs/>
          <w:color w:val="C00000"/>
          <w:sz w:val="28"/>
          <w:szCs w:val="28"/>
        </w:rPr>
      </w:pPr>
      <w:r>
        <w:rPr>
          <w:rFonts w:hint="eastAsia" w:ascii="仿宋_GB2312" w:hAnsi="仿宋_GB2312" w:eastAsia="仿宋_GB2312" w:cs="仿宋_GB2312"/>
          <w:b/>
          <w:bCs/>
          <w:color w:val="FF0000"/>
          <w:sz w:val="28"/>
          <w:szCs w:val="28"/>
        </w:rPr>
        <w:t>2、下列任何情况发生时，投标保证金将被不予退还：</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（1）投标人在投标截止后至投标有效期内撤回投标文件的； </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（2）中标人未能在规定期限内按照招标文件签订合同协议；</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（3）签署合同后，未能在规定的时间内提供履约保证金；</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（4）投标人在招标中存在违规和违法行为的。</w:t>
      </w:r>
    </w:p>
    <w:p>
      <w:pPr>
        <w:spacing w:line="560" w:lineRule="exact"/>
        <w:ind w:firstLine="560" w:firstLineChars="200"/>
        <w:jc w:val="lef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（5）中标人因自身原因放弃中标资格的。</w:t>
      </w:r>
    </w:p>
    <w:p>
      <w:p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3、在签订合同前，中标人须交纳履约保证金。履约保证金金额为</w:t>
      </w:r>
      <w:r>
        <w:rPr>
          <w:rFonts w:hint="eastAsia" w:ascii="仿宋_GB2312" w:hAnsi="仿宋_GB2312" w:eastAsia="仿宋_GB2312" w:cs="仿宋_GB2312"/>
          <w:b/>
          <w:bCs/>
          <w:sz w:val="28"/>
          <w:szCs w:val="28"/>
          <w:lang w:val="en-US" w:eastAsia="zh-CN"/>
        </w:rPr>
        <w:t>肆仟圆整</w:t>
      </w:r>
      <w:r>
        <w:rPr>
          <w:rFonts w:hint="eastAsia" w:ascii="仿宋_GB2312" w:hAnsi="仿宋_GB2312" w:eastAsia="仿宋_GB2312" w:cs="仿宋_GB2312"/>
          <w:sz w:val="28"/>
          <w:szCs w:val="28"/>
          <w:lang w:val="en-US" w:eastAsia="zh-CN"/>
        </w:rPr>
        <w:t>。</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4、招标人与中标人签订合同后</w:t>
      </w:r>
      <w:r>
        <w:rPr>
          <w:rFonts w:hint="eastAsia" w:ascii="仿宋_GB2312" w:hAnsi="仿宋_GB2312" w:eastAsia="仿宋_GB2312" w:cs="仿宋_GB2312"/>
          <w:b/>
          <w:bCs/>
          <w:color w:val="C00000"/>
          <w:sz w:val="28"/>
          <w:szCs w:val="28"/>
        </w:rPr>
        <w:t>7</w:t>
      </w:r>
      <w:r>
        <w:rPr>
          <w:rFonts w:hint="eastAsia" w:ascii="仿宋_GB2312" w:hAnsi="仿宋_GB2312" w:eastAsia="仿宋_GB2312" w:cs="仿宋_GB2312"/>
          <w:sz w:val="28"/>
          <w:szCs w:val="28"/>
        </w:rPr>
        <w:t>日内，向未中标的投标人退还投标保证金，中标人在签订合同并交纳履约保证金后退还投标保证金。</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5、公司对公账户信息</w:t>
      </w:r>
    </w:p>
    <w:p>
      <w:pPr>
        <w:spacing w:line="56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账户名称：</w:t>
      </w:r>
      <w:r>
        <w:rPr>
          <w:rFonts w:hint="eastAsia" w:ascii="仿宋_GB2312" w:hAnsi="仿宋_GB2312" w:eastAsia="仿宋_GB2312" w:cs="仿宋_GB2312"/>
          <w:sz w:val="28"/>
          <w:szCs w:val="28"/>
          <w:u w:val="single"/>
        </w:rPr>
        <w:t>铜陵有色金属集团铜冠建筑安装股份有限公司</w:t>
      </w:r>
    </w:p>
    <w:p>
      <w:pPr>
        <w:spacing w:line="56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账    号：</w:t>
      </w:r>
      <w:r>
        <w:rPr>
          <w:rFonts w:hint="eastAsia" w:ascii="仿宋_GB2312" w:hAnsi="仿宋_GB2312" w:eastAsia="仿宋_GB2312" w:cs="仿宋_GB2312"/>
          <w:sz w:val="28"/>
          <w:szCs w:val="28"/>
          <w:u w:val="single"/>
        </w:rPr>
        <w:t>1308024009200056147</w:t>
      </w:r>
    </w:p>
    <w:p>
      <w:pPr>
        <w:spacing w:line="56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开 户 行：</w:t>
      </w:r>
      <w:r>
        <w:rPr>
          <w:rFonts w:hint="eastAsia" w:ascii="仿宋_GB2312" w:hAnsi="仿宋_GB2312" w:eastAsia="仿宋_GB2312" w:cs="仿宋_GB2312"/>
          <w:sz w:val="28"/>
          <w:szCs w:val="28"/>
          <w:u w:val="single"/>
        </w:rPr>
        <w:t>工行铜都支行</w:t>
      </w:r>
    </w:p>
    <w:p>
      <w:pPr>
        <w:rPr>
          <w:rFonts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七、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2023年02月15日9:00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2、投标文件递交地点：铜陵有色金属集团铜冠建筑安装股份有限公司经营部（铜陵市翠湖三路黄山大道879号办公楼四楼）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pStyle w:val="2"/>
        <w:ind w:left="0" w:leftChars="0" w:firstLine="0" w:firstLineChars="0"/>
      </w:pPr>
    </w:p>
    <w:p>
      <w:pPr>
        <w:jc w:val="center"/>
        <w:rPr>
          <w:rFonts w:ascii="仿宋" w:hAnsi="仿宋" w:eastAsia="仿宋" w:cs="仿宋_GB2312"/>
          <w:b/>
          <w:sz w:val="36"/>
          <w:szCs w:val="36"/>
        </w:rPr>
      </w:pPr>
      <w:r>
        <w:rPr>
          <w:rFonts w:hint="eastAsia" w:ascii="仿宋" w:hAnsi="仿宋" w:eastAsia="仿宋" w:cs="仿宋_GB2312"/>
          <w:b/>
          <w:sz w:val="36"/>
          <w:szCs w:val="36"/>
        </w:rPr>
        <w:t>八、投标人须知</w:t>
      </w:r>
    </w:p>
    <w:p>
      <w:pPr>
        <w:jc w:val="center"/>
        <w:rPr>
          <w:rFonts w:ascii="仿宋" w:hAnsi="仿宋" w:eastAsia="仿宋" w:cs="仿宋_GB2312"/>
          <w:b/>
          <w:sz w:val="36"/>
          <w:szCs w:val="36"/>
        </w:rPr>
      </w:pPr>
    </w:p>
    <w:p>
      <w:pPr>
        <w:numPr>
          <w:ilvl w:val="0"/>
          <w:numId w:val="2"/>
        </w:num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报价相关要求</w:t>
      </w:r>
    </w:p>
    <w:p>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（1）报价为含工业固废废弃物分类、打包、装车、运输及装车后地面清洁工作。</w:t>
      </w:r>
    </w:p>
    <w:p>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（2）各投标单位在投标报价前应仔细审阅招标公告、报价表及报价说明等与此次报价相关的所有资料。报价要谨慎，一旦中标，视为理解并考虑了招标人一切要求的报价，不得以任何理由变更。</w:t>
      </w:r>
    </w:p>
    <w:p>
      <w:pPr>
        <w:numPr>
          <w:ilvl w:val="0"/>
          <w:numId w:val="2"/>
        </w:num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数量结算：以铜陵铜冠建安新型环保科技有限公司的磅单为结算依据。</w:t>
      </w:r>
    </w:p>
    <w:p>
      <w:pPr>
        <w:numPr>
          <w:ilvl w:val="0"/>
          <w:numId w:val="0"/>
        </w:numPr>
        <w:ind w:firstLine="560" w:firstLineChars="200"/>
        <w:rPr>
          <w:rFonts w:ascii="仿宋_GB2312" w:hAnsi="仿宋_GB2312" w:eastAsia="仿宋_GB2312" w:cs="仿宋_GB2312"/>
          <w:sz w:val="28"/>
          <w:szCs w:val="28"/>
          <w:highlight w:val="yellow"/>
        </w:rPr>
      </w:pPr>
      <w:r>
        <w:rPr>
          <w:rFonts w:hint="eastAsia" w:ascii="仿宋_GB2312" w:hAnsi="仿宋_GB2312" w:eastAsia="仿宋_GB2312" w:cs="仿宋_GB2312"/>
          <w:sz w:val="28"/>
          <w:szCs w:val="28"/>
          <w:highlight w:val="none"/>
          <w:lang w:val="en-US" w:eastAsia="zh-CN"/>
        </w:rPr>
        <w:t>3、</w:t>
      </w:r>
      <w:r>
        <w:rPr>
          <w:rFonts w:hint="eastAsia" w:ascii="仿宋_GB2312" w:hAnsi="仿宋_GB2312" w:eastAsia="仿宋_GB2312" w:cs="仿宋_GB2312"/>
          <w:sz w:val="28"/>
          <w:szCs w:val="28"/>
          <w:highlight w:val="none"/>
        </w:rPr>
        <w:t>处置地点：铜冠建安公司生产基地及所属铜陵市各施工项目现场。</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4、标书相关要求</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投标人法定代表人应在报价单相应位置签字及加盖公章（原章），如经办人不是法人代表，须提供本人身份证复印件、法人身份证复印件、投标廉洁承诺书及有法人代表签字的《法人代表授权书》并加盖公章（原章）作为投标资料的一部分。以上事项不符合要求的视为无效投标。</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（2）投标文件密封袋封口处应密封完整，加盖投标单位公章（原章），并且注明招标编号及材料名称。因投标人制作、密封、寄送报价文件不符合要求的视为无效投标。</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3）投标人的所有报价文件，除《法定代表人授权书》中的法定代表人签名、投标廉洁承诺书中的承诺人签字、报价单中的法定代表人或授权委托人签名须手写以外，其他填写的内容均为加盖单位公章（原章）的打印件。以上事项不符合要求的视为无效投标。 </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（4）装订要求</w:t>
      </w:r>
    </w:p>
    <w:p>
      <w:pPr>
        <w:ind w:firstLine="840" w:firstLineChars="3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密封袋封口处应密封严实，并应加盖投标人公章（原章）。未按装订要求装订的，我公司不负责相关保密要求，同时视为无效投标。</w:t>
      </w:r>
    </w:p>
    <w:p>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5、本次招标处置的一般工业固体废物由中标人负责运输。运输过程中未按相关安全、环保等要求所导致的一切安全、环保事故由中标人承担责任。</w:t>
      </w:r>
    </w:p>
    <w:p>
      <w:pPr>
        <w:pStyle w:val="2"/>
        <w:ind w:left="0" w:leftChars="0" w:firstLine="548" w:firstLineChars="196"/>
        <w:rPr>
          <w:highlight w:val="none"/>
        </w:rPr>
      </w:pPr>
      <w:r>
        <w:rPr>
          <w:rFonts w:hint="eastAsia" w:ascii="仿宋_GB2312" w:hAnsi="仿宋_GB2312" w:eastAsia="仿宋_GB2312" w:cs="仿宋_GB2312"/>
          <w:bCs/>
          <w:sz w:val="28"/>
          <w:szCs w:val="28"/>
        </w:rPr>
        <w:t>6、</w:t>
      </w:r>
      <w:r>
        <w:rPr>
          <w:rFonts w:hint="eastAsia" w:ascii="仿宋_GB2312" w:hAnsi="仿宋_GB2312" w:eastAsia="仿宋_GB2312" w:cs="仿宋_GB2312"/>
          <w:bCs/>
          <w:sz w:val="28"/>
          <w:szCs w:val="28"/>
          <w:highlight w:val="none"/>
        </w:rPr>
        <w:t>处置期限：2023年2月16日至2024年2月15日。</w:t>
      </w: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1、评标由纪委随机临时确定评委并组建的评标委员会负责。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本次评标以价格为评标依据，报价最</w:t>
      </w:r>
      <w:r>
        <w:rPr>
          <w:rFonts w:hint="eastAsia" w:ascii="仿宋" w:hAnsi="仿宋" w:eastAsia="仿宋" w:cs="仿宋_GB2312"/>
          <w:sz w:val="28"/>
          <w:szCs w:val="28"/>
          <w:u w:val="single"/>
          <w:lang w:val="en-US" w:eastAsia="zh-CN"/>
        </w:rPr>
        <w:t>低</w:t>
      </w:r>
      <w:r>
        <w:rPr>
          <w:rFonts w:hint="eastAsia" w:ascii="仿宋" w:hAnsi="仿宋" w:eastAsia="仿宋" w:cs="仿宋_GB2312"/>
          <w:sz w:val="28"/>
          <w:szCs w:val="28"/>
          <w:u w:val="single"/>
        </w:rPr>
        <w:t>的单位为预中标单位。</w:t>
      </w:r>
    </w:p>
    <w:p>
      <w:pPr>
        <w:spacing w:line="600" w:lineRule="exact"/>
        <w:ind w:left="210" w:leftChars="100" w:firstLine="280" w:firstLineChars="1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w:t>
      </w:r>
      <w:r>
        <w:rPr>
          <w:rFonts w:hint="eastAsia" w:ascii="仿宋" w:hAnsi="仿宋" w:eastAsia="仿宋" w:cs="仿宋_GB2312"/>
          <w:b/>
          <w:bCs/>
          <w:color w:val="000000" w:themeColor="text1"/>
          <w:sz w:val="28"/>
          <w:szCs w:val="28"/>
          <w:u w:val="single"/>
          <w14:textFill>
            <w14:solidFill>
              <w14:schemeClr w14:val="tx1"/>
            </w14:solidFill>
          </w14:textFill>
        </w:rPr>
        <w:t>一</w:t>
      </w:r>
      <w:r>
        <w:rPr>
          <w:rFonts w:hint="eastAsia" w:ascii="仿宋" w:hAnsi="仿宋" w:eastAsia="仿宋" w:cs="仿宋_GB2312"/>
          <w:sz w:val="28"/>
          <w:szCs w:val="28"/>
          <w:u w:val="single"/>
        </w:rPr>
        <w:t>名中标单位。</w:t>
      </w:r>
    </w:p>
    <w:p>
      <w:pPr>
        <w:spacing w:line="600" w:lineRule="exact"/>
        <w:ind w:left="210" w:leftChars="100" w:firstLine="280" w:firstLineChars="1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仿宋" w:hAnsi="仿宋" w:eastAsia="仿宋" w:cs="仿宋_GB2312"/>
          <w:b/>
          <w:sz w:val="36"/>
          <w:szCs w:val="36"/>
        </w:rPr>
      </w:pPr>
    </w:p>
    <w:p>
      <w:pPr>
        <w:pStyle w:val="2"/>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1、对招标人的纪律要求：招标人不得泄漏招标投标活动中应当保密的情况和资料，不得与投标人串通损害铜陵有色金属集团铜冠建筑安装股份有限公司利益或者他人合法权益。</w:t>
      </w:r>
    </w:p>
    <w:p>
      <w:pPr>
        <w:spacing w:line="60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一经确认将取消其今后参加铜陵有色金属集团铜冠建筑安装股份有限公司招标的资格，列入供应商黑名单。</w:t>
      </w: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spacing w:line="600" w:lineRule="exact"/>
        <w:jc w:val="center"/>
        <w:rPr>
          <w:rFonts w:ascii="仿宋" w:hAnsi="仿宋" w:eastAsia="仿宋" w:cs="仿宋_GB2312"/>
          <w:b/>
          <w:sz w:val="36"/>
          <w:szCs w:val="36"/>
        </w:rPr>
      </w:pPr>
    </w:p>
    <w:p>
      <w:pPr>
        <w:pStyle w:val="21"/>
        <w:rPr>
          <w:rFonts w:ascii="仿宋" w:hAnsi="仿宋" w:eastAsia="仿宋"/>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为本公司合法代理人，就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仿宋" w:hAnsi="仿宋" w:eastAsia="仿宋"/>
          <w:sz w:val="24"/>
        </w:rPr>
      </w:pPr>
    </w:p>
    <w:p>
      <w:pPr>
        <w:spacing w:beforeLines="50" w:afterLines="50" w:line="360" w:lineRule="auto"/>
        <w:ind w:firstLine="4080" w:firstLineChars="1700"/>
        <w:rPr>
          <w:rFonts w:ascii="仿宋" w:hAnsi="仿宋" w:eastAsia="仿宋"/>
          <w:sz w:val="24"/>
        </w:rPr>
      </w:pPr>
      <w:r>
        <w:rPr>
          <w:rFonts w:hint="eastAsia" w:ascii="仿宋" w:hAnsi="仿宋" w:eastAsia="仿宋"/>
          <w:sz w:val="24"/>
        </w:rPr>
        <w:t>法定代表人签字：_______________</w:t>
      </w:r>
    </w:p>
    <w:p>
      <w:pPr>
        <w:spacing w:beforeLines="50" w:afterLines="50" w:line="360" w:lineRule="auto"/>
        <w:ind w:firstLine="4080" w:firstLineChars="1700"/>
        <w:rPr>
          <w:rFonts w:ascii="仿宋" w:hAnsi="仿宋" w:eastAsia="仿宋"/>
        </w:rPr>
      </w:pPr>
      <w:r>
        <w:rPr>
          <w:rFonts w:hint="eastAsia" w:ascii="仿宋" w:hAnsi="仿宋" w:eastAsia="仿宋"/>
          <w:sz w:val="24"/>
        </w:rPr>
        <w:t>单位盖章：_____________________</w:t>
      </w:r>
    </w:p>
    <w:p>
      <w:pPr>
        <w:spacing w:beforeLines="50" w:afterLines="50" w:line="360" w:lineRule="auto"/>
        <w:rPr>
          <w:rFonts w:ascii="仿宋" w:hAnsi="仿宋" w:eastAsia="仿宋"/>
          <w:sz w:val="24"/>
        </w:rPr>
      </w:pPr>
    </w:p>
    <w:p>
      <w:pPr>
        <w:spacing w:line="600" w:lineRule="exact"/>
        <w:jc w:val="right"/>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ascii="仿宋" w:hAnsi="仿宋" w:eastAsia="仿宋" w:cs="仿宋_GB2312"/>
          <w:sz w:val="28"/>
          <w:szCs w:val="28"/>
        </w:rPr>
      </w:pPr>
    </w:p>
    <w:p>
      <w:pPr>
        <w:rPr>
          <w:rFonts w:ascii="仿宋" w:hAnsi="仿宋" w:eastAsia="仿宋" w:cs="仿宋_GB2312"/>
          <w:b/>
          <w:sz w:val="36"/>
          <w:szCs w:val="36"/>
          <w:highlight w:val="cyan"/>
        </w:rPr>
      </w:pPr>
    </w:p>
    <w:p>
      <w:pPr>
        <w:jc w:val="center"/>
        <w:rPr>
          <w:rFonts w:ascii="仿宋" w:hAnsi="仿宋" w:eastAsia="仿宋" w:cs="仿宋_GB2312"/>
          <w:b/>
          <w:sz w:val="36"/>
          <w:szCs w:val="36"/>
          <w:highlight w:val="cyan"/>
        </w:rPr>
      </w:pPr>
    </w:p>
    <w:p>
      <w:pPr>
        <w:jc w:val="center"/>
        <w:rPr>
          <w:rFonts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20" w:lineRule="exact"/>
        <w:ind w:firstLine="560" w:firstLineChars="200"/>
        <w:rPr>
          <w:rFonts w:ascii="仿宋" w:hAnsi="仿宋" w:eastAsia="仿宋" w:cs="仿宋_GB2312"/>
          <w:sz w:val="28"/>
          <w:szCs w:val="28"/>
        </w:rPr>
      </w:pPr>
    </w:p>
    <w:p>
      <w:pPr>
        <w:spacing w:line="52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我单位于年月日参与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3"/>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3"/>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3"/>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 w:hAnsi="仿宋" w:eastAsia="仿宋" w:cs="仿宋_GB2312"/>
          <w:color w:val="000000"/>
          <w:sz w:val="28"/>
          <w:szCs w:val="28"/>
          <w:u w:val="single"/>
        </w:rPr>
      </w:pPr>
    </w:p>
    <w:p>
      <w:pPr>
        <w:spacing w:line="520" w:lineRule="exact"/>
        <w:ind w:firstLine="5320" w:firstLineChars="1900"/>
        <w:rPr>
          <w:rFonts w:ascii="仿宋" w:hAnsi="仿宋" w:eastAsia="仿宋" w:cs="仿宋_GB2312"/>
          <w:sz w:val="28"/>
          <w:szCs w:val="28"/>
        </w:rPr>
      </w:pPr>
    </w:p>
    <w:p>
      <w:pPr>
        <w:spacing w:line="520" w:lineRule="exact"/>
        <w:ind w:firstLine="5320" w:firstLineChars="1900"/>
        <w:rPr>
          <w:rFonts w:ascii="仿宋" w:hAnsi="仿宋" w:eastAsia="仿宋" w:cs="仿宋_GB2312"/>
          <w:sz w:val="28"/>
          <w:szCs w:val="28"/>
          <w:u w:val="single"/>
        </w:rPr>
      </w:pPr>
      <w:r>
        <w:rPr>
          <w:rFonts w:hint="eastAsia" w:ascii="仿宋" w:hAnsi="仿宋" w:eastAsia="仿宋" w:cs="仿宋_GB2312"/>
          <w:sz w:val="28"/>
          <w:szCs w:val="28"/>
        </w:rPr>
        <w:t>承诺方签字:_________</w:t>
      </w:r>
    </w:p>
    <w:p>
      <w:pPr>
        <w:spacing w:line="520" w:lineRule="exact"/>
        <w:ind w:firstLine="5320" w:firstLineChars="1900"/>
        <w:rPr>
          <w:rFonts w:ascii="仿宋" w:hAnsi="仿宋" w:eastAsia="仿宋" w:cs="仿宋_GB2312"/>
          <w:sz w:val="28"/>
          <w:szCs w:val="28"/>
        </w:rPr>
      </w:pPr>
      <w:r>
        <w:rPr>
          <w:rFonts w:hint="eastAsia" w:ascii="仿宋" w:hAnsi="仿宋" w:eastAsia="仿宋" w:cs="仿宋_GB2312"/>
          <w:sz w:val="28"/>
          <w:szCs w:val="28"/>
        </w:rPr>
        <w:t xml:space="preserve">单位盖章 ：                    </w:t>
      </w:r>
    </w:p>
    <w:p>
      <w:pPr>
        <w:spacing w:line="52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日    期：</w:t>
      </w:r>
    </w:p>
    <w:p>
      <w:pPr>
        <w:spacing w:line="440" w:lineRule="exact"/>
        <w:rPr>
          <w:rFonts w:ascii="仿宋" w:hAnsi="仿宋" w:eastAsia="仿宋" w:cs="仿宋_GB2312"/>
          <w:sz w:val="28"/>
          <w:szCs w:val="28"/>
        </w:rPr>
      </w:pPr>
    </w:p>
    <w:p>
      <w:pPr>
        <w:spacing w:line="600" w:lineRule="exact"/>
        <w:jc w:val="right"/>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十三、报价单</w:t>
      </w:r>
    </w:p>
    <w:p>
      <w:pPr>
        <w:ind w:firstLine="280" w:firstLineChars="100"/>
        <w:rPr>
          <w:rFonts w:ascii="仿宋" w:hAnsi="仿宋" w:eastAsia="仿宋"/>
          <w:b/>
          <w:sz w:val="28"/>
          <w:szCs w:val="28"/>
        </w:rPr>
      </w:pPr>
      <w:r>
        <w:rPr>
          <w:rFonts w:hint="eastAsia" w:ascii="仿宋" w:hAnsi="仿宋" w:eastAsia="仿宋"/>
          <w:b/>
          <w:sz w:val="28"/>
          <w:szCs w:val="28"/>
        </w:rPr>
        <w:t>报价单（TGJA-WZ-202312）</w:t>
      </w:r>
    </w:p>
    <w:tbl>
      <w:tblPr>
        <w:tblStyle w:val="47"/>
        <w:tblpPr w:leftFromText="180" w:rightFromText="180" w:vertAnchor="text" w:tblpY="1"/>
        <w:tblOverlap w:val="never"/>
        <w:tblW w:w="156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4651"/>
        <w:gridCol w:w="854"/>
        <w:gridCol w:w="912"/>
        <w:gridCol w:w="1419"/>
        <w:gridCol w:w="992"/>
        <w:gridCol w:w="1062"/>
        <w:gridCol w:w="140"/>
        <w:gridCol w:w="2029"/>
        <w:gridCol w:w="2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641" w:type="dxa"/>
            <w:vAlign w:val="center"/>
          </w:tcPr>
          <w:p>
            <w:pPr>
              <w:jc w:val="center"/>
              <w:rPr>
                <w:rFonts w:ascii="仿宋" w:hAnsi="仿宋" w:eastAsia="仿宋"/>
                <w:sz w:val="24"/>
              </w:rPr>
            </w:pPr>
            <w:r>
              <w:rPr>
                <w:rFonts w:hint="eastAsia" w:ascii="仿宋" w:hAnsi="仿宋" w:eastAsia="仿宋"/>
                <w:sz w:val="24"/>
              </w:rPr>
              <w:t>序号</w:t>
            </w:r>
          </w:p>
        </w:tc>
        <w:tc>
          <w:tcPr>
            <w:tcW w:w="4651" w:type="dxa"/>
            <w:vAlign w:val="center"/>
          </w:tcPr>
          <w:p>
            <w:pPr>
              <w:jc w:val="center"/>
              <w:rPr>
                <w:rFonts w:ascii="仿宋" w:hAnsi="仿宋" w:eastAsia="仿宋"/>
                <w:sz w:val="24"/>
              </w:rPr>
            </w:pPr>
            <w:r>
              <w:rPr>
                <w:rFonts w:hint="eastAsia" w:ascii="仿宋" w:hAnsi="仿宋" w:eastAsia="仿宋"/>
                <w:sz w:val="24"/>
              </w:rPr>
              <w:t>物料名称</w:t>
            </w:r>
          </w:p>
        </w:tc>
        <w:tc>
          <w:tcPr>
            <w:tcW w:w="854" w:type="dxa"/>
            <w:vAlign w:val="center"/>
          </w:tcPr>
          <w:p>
            <w:pPr>
              <w:jc w:val="center"/>
              <w:rPr>
                <w:rFonts w:ascii="仿宋" w:hAnsi="仿宋" w:eastAsia="仿宋"/>
                <w:sz w:val="24"/>
              </w:rPr>
            </w:pPr>
            <w:r>
              <w:rPr>
                <w:rFonts w:hint="eastAsia" w:ascii="仿宋" w:hAnsi="仿宋" w:eastAsia="仿宋"/>
                <w:sz w:val="24"/>
              </w:rPr>
              <w:t>单位</w:t>
            </w:r>
          </w:p>
        </w:tc>
        <w:tc>
          <w:tcPr>
            <w:tcW w:w="912" w:type="dxa"/>
            <w:vAlign w:val="center"/>
          </w:tcPr>
          <w:p>
            <w:pPr>
              <w:jc w:val="center"/>
              <w:rPr>
                <w:rFonts w:ascii="仿宋" w:hAnsi="仿宋" w:eastAsia="仿宋"/>
                <w:sz w:val="24"/>
              </w:rPr>
            </w:pPr>
            <w:r>
              <w:rPr>
                <w:rFonts w:hint="eastAsia" w:ascii="仿宋" w:hAnsi="仿宋" w:eastAsia="仿宋"/>
                <w:sz w:val="24"/>
              </w:rPr>
              <w:t>数量</w:t>
            </w:r>
          </w:p>
        </w:tc>
        <w:tc>
          <w:tcPr>
            <w:tcW w:w="1419" w:type="dxa"/>
            <w:vAlign w:val="center"/>
          </w:tcPr>
          <w:p>
            <w:pPr>
              <w:jc w:val="center"/>
              <w:rPr>
                <w:rFonts w:ascii="仿宋" w:hAnsi="仿宋" w:eastAsia="仿宋"/>
                <w:bCs/>
                <w:sz w:val="24"/>
              </w:rPr>
            </w:pPr>
            <w:r>
              <w:rPr>
                <w:rFonts w:hint="eastAsia" w:ascii="仿宋" w:hAnsi="仿宋" w:eastAsia="仿宋"/>
                <w:bCs/>
                <w:sz w:val="24"/>
                <w:lang w:val="en-US" w:eastAsia="zh-CN"/>
              </w:rPr>
              <w:t>含税</w:t>
            </w:r>
            <w:r>
              <w:rPr>
                <w:rFonts w:hint="eastAsia" w:ascii="仿宋" w:hAnsi="仿宋" w:eastAsia="仿宋"/>
                <w:bCs/>
                <w:sz w:val="24"/>
              </w:rPr>
              <w:t>单价</w:t>
            </w:r>
            <w:r>
              <w:rPr>
                <w:rFonts w:hint="eastAsia" w:ascii="仿宋" w:hAnsi="仿宋" w:eastAsia="仿宋"/>
                <w:bCs/>
                <w:color w:val="FF0000"/>
                <w:sz w:val="24"/>
              </w:rPr>
              <w:t>＊</w:t>
            </w:r>
          </w:p>
        </w:tc>
        <w:tc>
          <w:tcPr>
            <w:tcW w:w="992" w:type="dxa"/>
            <w:vAlign w:val="center"/>
          </w:tcPr>
          <w:p>
            <w:pPr>
              <w:jc w:val="center"/>
              <w:rPr>
                <w:rFonts w:ascii="仿宋" w:hAnsi="仿宋" w:eastAsia="仿宋"/>
                <w:bCs/>
                <w:sz w:val="24"/>
              </w:rPr>
            </w:pPr>
            <w:r>
              <w:rPr>
                <w:rFonts w:hint="eastAsia" w:ascii="仿宋" w:hAnsi="仿宋" w:eastAsia="仿宋"/>
                <w:bCs/>
                <w:color w:val="000000" w:themeColor="text1"/>
                <w:sz w:val="24"/>
                <w14:textFill>
                  <w14:solidFill>
                    <w14:schemeClr w14:val="tx1"/>
                  </w14:solidFill>
                </w14:textFill>
              </w:rPr>
              <w:t>总价</w:t>
            </w:r>
            <w:r>
              <w:rPr>
                <w:rFonts w:hint="eastAsia" w:ascii="仿宋" w:hAnsi="仿宋" w:eastAsia="仿宋"/>
                <w:bCs/>
                <w:color w:val="FF0000"/>
                <w:sz w:val="24"/>
              </w:rPr>
              <w:t>＊</w:t>
            </w:r>
          </w:p>
        </w:tc>
        <w:tc>
          <w:tcPr>
            <w:tcW w:w="1062" w:type="dxa"/>
            <w:vAlign w:val="center"/>
          </w:tcPr>
          <w:p>
            <w:pPr>
              <w:jc w:val="center"/>
              <w:rPr>
                <w:rFonts w:ascii="仿宋" w:hAnsi="仿宋" w:eastAsia="仿宋"/>
                <w:bCs/>
                <w:sz w:val="24"/>
              </w:rPr>
            </w:pPr>
            <w:r>
              <w:rPr>
                <w:rFonts w:hint="eastAsia" w:ascii="仿宋" w:hAnsi="仿宋" w:eastAsia="仿宋"/>
                <w:bCs/>
                <w:sz w:val="24"/>
              </w:rPr>
              <w:t>税率</w:t>
            </w:r>
            <w:r>
              <w:rPr>
                <w:rFonts w:hint="eastAsia" w:ascii="仿宋" w:hAnsi="仿宋" w:eastAsia="仿宋"/>
                <w:bCs/>
                <w:color w:val="FF0000"/>
                <w:sz w:val="24"/>
              </w:rPr>
              <w:t>＊</w:t>
            </w:r>
          </w:p>
        </w:tc>
        <w:tc>
          <w:tcPr>
            <w:tcW w:w="2169" w:type="dxa"/>
            <w:gridSpan w:val="2"/>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是否为增值税</w:t>
            </w:r>
          </w:p>
          <w:p>
            <w:pPr>
              <w:jc w:val="center"/>
              <w:rPr>
                <w:rFonts w:hint="default" w:ascii="仿宋" w:hAnsi="仿宋" w:eastAsia="仿宋"/>
                <w:sz w:val="24"/>
                <w:lang w:val="en-US" w:eastAsia="zh-CN"/>
              </w:rPr>
            </w:pPr>
            <w:r>
              <w:rPr>
                <w:rFonts w:hint="eastAsia" w:ascii="仿宋" w:hAnsi="仿宋" w:eastAsia="仿宋"/>
                <w:sz w:val="24"/>
                <w:lang w:val="en-US" w:eastAsia="zh-CN"/>
              </w:rPr>
              <w:t>专用发票</w:t>
            </w:r>
            <w:r>
              <w:rPr>
                <w:rFonts w:hint="eastAsia" w:ascii="仿宋" w:hAnsi="仿宋" w:eastAsia="仿宋"/>
                <w:color w:val="FF0000"/>
                <w:sz w:val="24"/>
                <w:lang w:val="en-US" w:eastAsia="zh-CN"/>
              </w:rPr>
              <w:t>*</w:t>
            </w:r>
          </w:p>
        </w:tc>
        <w:tc>
          <w:tcPr>
            <w:tcW w:w="2915" w:type="dxa"/>
            <w:vAlign w:val="center"/>
          </w:tcPr>
          <w:p>
            <w:pPr>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641" w:type="dxa"/>
            <w:vAlign w:val="center"/>
          </w:tcPr>
          <w:p>
            <w:pPr>
              <w:jc w:val="center"/>
              <w:rPr>
                <w:rFonts w:ascii="仿宋" w:hAnsi="仿宋" w:eastAsia="仿宋"/>
                <w:szCs w:val="21"/>
              </w:rPr>
            </w:pPr>
            <w:r>
              <w:rPr>
                <w:rFonts w:hint="eastAsia" w:ascii="仿宋" w:hAnsi="仿宋" w:eastAsia="仿宋"/>
                <w:szCs w:val="21"/>
              </w:rPr>
              <w:t>4</w:t>
            </w:r>
          </w:p>
        </w:tc>
        <w:tc>
          <w:tcPr>
            <w:tcW w:w="4651" w:type="dxa"/>
            <w:vAlign w:val="center"/>
          </w:tcPr>
          <w:p>
            <w:pPr>
              <w:widowControl/>
              <w:jc w:val="center"/>
              <w:textAlignment w:val="center"/>
              <w:rPr>
                <w:rFonts w:ascii="宋体" w:hAnsi="宋体" w:cs="宋体"/>
                <w:color w:val="000000"/>
                <w:kern w:val="0"/>
                <w:sz w:val="22"/>
                <w:szCs w:val="22"/>
              </w:rPr>
            </w:pPr>
            <w:r>
              <w:rPr>
                <w:rFonts w:hint="eastAsia" w:ascii="仿宋" w:hAnsi="仿宋" w:eastAsia="仿宋"/>
                <w:sz w:val="24"/>
              </w:rPr>
              <w:t>一般工业固体废物（不包括废金属，包</w:t>
            </w:r>
            <w:r>
              <w:rPr>
                <w:rFonts w:hint="eastAsia" w:ascii="仿宋" w:hAnsi="仿宋" w:eastAsia="仿宋"/>
                <w:sz w:val="24"/>
                <w:lang w:val="en-US" w:eastAsia="zh-CN"/>
              </w:rPr>
              <w:t>含</w:t>
            </w:r>
            <w:r>
              <w:rPr>
                <w:rFonts w:hint="eastAsia" w:ascii="仿宋" w:hAnsi="仿宋" w:eastAsia="仿宋"/>
                <w:sz w:val="24"/>
              </w:rPr>
              <w:t>但不限于废木材及相关制品、废塑料及相关制品、废橡胶及相关制品、废玻璃、废焊渣、保温材料）</w:t>
            </w:r>
          </w:p>
        </w:tc>
        <w:tc>
          <w:tcPr>
            <w:tcW w:w="854" w:type="dxa"/>
            <w:vAlign w:val="center"/>
          </w:tcPr>
          <w:p>
            <w:pPr>
              <w:widowControl/>
              <w:jc w:val="center"/>
              <w:textAlignment w:val="center"/>
              <w:rPr>
                <w:rFonts w:ascii="等线" w:hAnsi="等线" w:eastAsia="等线" w:cs="等线"/>
                <w:color w:val="000000"/>
                <w:sz w:val="22"/>
                <w:szCs w:val="22"/>
              </w:rPr>
            </w:pPr>
            <w:r>
              <w:rPr>
                <w:rFonts w:hint="eastAsia" w:ascii="等线" w:hAnsi="等线" w:eastAsia="等线" w:cs="等线"/>
                <w:color w:val="000000"/>
                <w:sz w:val="22"/>
                <w:szCs w:val="22"/>
              </w:rPr>
              <w:t>吨</w:t>
            </w:r>
          </w:p>
        </w:tc>
        <w:tc>
          <w:tcPr>
            <w:tcW w:w="912" w:type="dxa"/>
            <w:vAlign w:val="center"/>
          </w:tcPr>
          <w:p>
            <w:pPr>
              <w:widowControl/>
              <w:jc w:val="center"/>
              <w:textAlignment w:val="center"/>
              <w:rPr>
                <w:rFonts w:hint="default" w:ascii="等线" w:hAnsi="等线" w:eastAsia="等线" w:cs="等线"/>
                <w:color w:val="000000"/>
                <w:sz w:val="22"/>
                <w:szCs w:val="22"/>
                <w:lang w:val="en-US" w:eastAsia="zh-CN"/>
              </w:rPr>
            </w:pPr>
            <w:r>
              <w:rPr>
                <w:rFonts w:hint="eastAsia" w:ascii="等线" w:hAnsi="等线" w:eastAsia="等线" w:cs="等线"/>
                <w:color w:val="000000"/>
                <w:sz w:val="22"/>
                <w:szCs w:val="22"/>
                <w:lang w:val="en-US" w:eastAsia="zh-CN"/>
              </w:rPr>
              <w:t>50</w:t>
            </w:r>
          </w:p>
        </w:tc>
        <w:tc>
          <w:tcPr>
            <w:tcW w:w="1419" w:type="dxa"/>
            <w:vAlign w:val="center"/>
          </w:tcPr>
          <w:p>
            <w:pPr>
              <w:jc w:val="center"/>
              <w:rPr>
                <w:rFonts w:ascii="仿宋" w:hAnsi="仿宋" w:eastAsia="仿宋" w:cs="宋体"/>
                <w:sz w:val="22"/>
                <w:szCs w:val="22"/>
              </w:rPr>
            </w:pPr>
          </w:p>
        </w:tc>
        <w:tc>
          <w:tcPr>
            <w:tcW w:w="992" w:type="dxa"/>
            <w:vAlign w:val="center"/>
          </w:tcPr>
          <w:p>
            <w:pPr>
              <w:spacing w:line="360" w:lineRule="auto"/>
              <w:jc w:val="center"/>
              <w:rPr>
                <w:rFonts w:ascii="仿宋" w:hAnsi="仿宋" w:eastAsia="仿宋"/>
              </w:rPr>
            </w:pPr>
          </w:p>
        </w:tc>
        <w:tc>
          <w:tcPr>
            <w:tcW w:w="1062" w:type="dxa"/>
            <w:vAlign w:val="center"/>
          </w:tcPr>
          <w:p>
            <w:pPr>
              <w:jc w:val="center"/>
              <w:rPr>
                <w:rFonts w:ascii="仿宋" w:hAnsi="仿宋" w:eastAsia="仿宋"/>
                <w:szCs w:val="21"/>
              </w:rPr>
            </w:pPr>
          </w:p>
        </w:tc>
        <w:tc>
          <w:tcPr>
            <w:tcW w:w="2169" w:type="dxa"/>
            <w:gridSpan w:val="2"/>
            <w:vAlign w:val="center"/>
          </w:tcPr>
          <w:p>
            <w:pPr>
              <w:jc w:val="center"/>
              <w:rPr>
                <w:rFonts w:ascii="仿宋" w:hAnsi="仿宋" w:eastAsia="仿宋"/>
                <w:b/>
                <w:szCs w:val="21"/>
              </w:rPr>
            </w:pPr>
          </w:p>
        </w:tc>
        <w:tc>
          <w:tcPr>
            <w:tcW w:w="2915"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292" w:type="dxa"/>
            <w:gridSpan w:val="2"/>
            <w:vAlign w:val="center"/>
          </w:tcPr>
          <w:p>
            <w:pPr>
              <w:jc w:val="center"/>
              <w:rPr>
                <w:rFonts w:ascii="仿宋" w:hAnsi="仿宋" w:eastAsia="仿宋" w:cs="宋体"/>
                <w:b/>
                <w:bCs/>
                <w:kern w:val="0"/>
                <w:szCs w:val="21"/>
              </w:rPr>
            </w:pPr>
            <w:r>
              <w:rPr>
                <w:rFonts w:hint="eastAsia" w:ascii="仿宋" w:hAnsi="仿宋" w:eastAsia="仿宋"/>
                <w:b/>
                <w:bCs/>
                <w:sz w:val="24"/>
              </w:rPr>
              <w:t>合计总金额（人民币）</w:t>
            </w:r>
          </w:p>
        </w:tc>
        <w:tc>
          <w:tcPr>
            <w:tcW w:w="854" w:type="dxa"/>
            <w:vAlign w:val="center"/>
          </w:tcPr>
          <w:p>
            <w:pPr>
              <w:jc w:val="center"/>
              <w:rPr>
                <w:rFonts w:ascii="仿宋" w:hAnsi="仿宋" w:eastAsia="仿宋" w:cs="仿宋"/>
                <w:b/>
                <w:bCs/>
                <w:szCs w:val="21"/>
              </w:rPr>
            </w:pPr>
            <w:r>
              <w:rPr>
                <w:rFonts w:hint="eastAsia" w:ascii="仿宋" w:hAnsi="仿宋" w:eastAsia="仿宋" w:cs="仿宋"/>
                <w:b/>
                <w:bCs/>
                <w:szCs w:val="21"/>
              </w:rPr>
              <w:t>元</w:t>
            </w:r>
          </w:p>
        </w:tc>
        <w:tc>
          <w:tcPr>
            <w:tcW w:w="912" w:type="dxa"/>
            <w:vAlign w:val="center"/>
          </w:tcPr>
          <w:p>
            <w:pPr>
              <w:jc w:val="center"/>
              <w:rPr>
                <w:rFonts w:ascii="仿宋" w:hAnsi="仿宋" w:eastAsia="仿宋" w:cs="仿宋"/>
                <w:b/>
                <w:bCs/>
                <w:szCs w:val="21"/>
                <w:highlight w:val="yellow"/>
              </w:rPr>
            </w:pPr>
          </w:p>
        </w:tc>
        <w:tc>
          <w:tcPr>
            <w:tcW w:w="1419" w:type="dxa"/>
            <w:vAlign w:val="center"/>
          </w:tcPr>
          <w:p>
            <w:pPr>
              <w:jc w:val="center"/>
              <w:rPr>
                <w:rFonts w:ascii="仿宋" w:hAnsi="仿宋" w:eastAsia="仿宋"/>
                <w:b/>
                <w:bCs/>
                <w:szCs w:val="21"/>
              </w:rPr>
            </w:pPr>
          </w:p>
        </w:tc>
        <w:tc>
          <w:tcPr>
            <w:tcW w:w="992" w:type="dxa"/>
            <w:vAlign w:val="center"/>
          </w:tcPr>
          <w:p>
            <w:pPr>
              <w:jc w:val="center"/>
              <w:rPr>
                <w:rFonts w:ascii="仿宋" w:hAnsi="仿宋" w:eastAsia="仿宋"/>
                <w:b/>
                <w:bCs/>
                <w:szCs w:val="21"/>
              </w:rPr>
            </w:pPr>
          </w:p>
        </w:tc>
        <w:tc>
          <w:tcPr>
            <w:tcW w:w="1062" w:type="dxa"/>
            <w:vAlign w:val="center"/>
          </w:tcPr>
          <w:p>
            <w:pPr>
              <w:jc w:val="center"/>
              <w:rPr>
                <w:rFonts w:ascii="仿宋" w:hAnsi="仿宋" w:eastAsia="仿宋"/>
                <w:b/>
                <w:bCs/>
                <w:szCs w:val="21"/>
              </w:rPr>
            </w:pPr>
          </w:p>
        </w:tc>
        <w:tc>
          <w:tcPr>
            <w:tcW w:w="2169" w:type="dxa"/>
            <w:gridSpan w:val="2"/>
            <w:vAlign w:val="center"/>
          </w:tcPr>
          <w:p>
            <w:pPr>
              <w:jc w:val="center"/>
              <w:rPr>
                <w:rFonts w:ascii="仿宋" w:hAnsi="仿宋" w:eastAsia="仿宋"/>
                <w:b/>
                <w:bCs/>
                <w:szCs w:val="21"/>
              </w:rPr>
            </w:pPr>
          </w:p>
        </w:tc>
        <w:tc>
          <w:tcPr>
            <w:tcW w:w="2915" w:type="dxa"/>
            <w:vAlign w:val="center"/>
          </w:tcPr>
          <w:p>
            <w:pPr>
              <w:jc w:val="center"/>
              <w:rPr>
                <w:rFonts w:ascii="仿宋" w:hAnsi="仿宋" w:eastAsia="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trPr>
        <w:tc>
          <w:tcPr>
            <w:tcW w:w="15615" w:type="dxa"/>
            <w:gridSpan w:val="10"/>
            <w:vAlign w:val="center"/>
          </w:tcPr>
          <w:p>
            <w:pPr>
              <w:widowControl/>
              <w:jc w:val="left"/>
              <w:textAlignment w:val="center"/>
              <w:rPr>
                <w:rFonts w:hint="eastAsia" w:ascii="仿宋" w:hAnsi="仿宋" w:eastAsia="仿宋"/>
                <w:sz w:val="24"/>
              </w:rPr>
            </w:pPr>
            <w:r>
              <w:rPr>
                <w:rFonts w:hint="eastAsia"/>
              </w:rPr>
              <w:t>说</w:t>
            </w:r>
            <w:r>
              <w:rPr>
                <w:rFonts w:hint="eastAsia" w:ascii="仿宋" w:hAnsi="仿宋" w:eastAsia="仿宋"/>
                <w:sz w:val="24"/>
              </w:rPr>
              <w:t>明：</w:t>
            </w:r>
          </w:p>
          <w:p>
            <w:pPr>
              <w:widowControl/>
              <w:jc w:val="center"/>
              <w:textAlignment w:val="center"/>
              <w:rPr>
                <w:rFonts w:hint="eastAsia" w:ascii="仿宋" w:hAnsi="仿宋" w:eastAsia="仿宋"/>
                <w:sz w:val="24"/>
              </w:rPr>
            </w:pPr>
            <w:r>
              <w:rPr>
                <w:rFonts w:hint="eastAsia" w:ascii="仿宋" w:hAnsi="仿宋" w:eastAsia="仿宋"/>
                <w:sz w:val="24"/>
                <w:lang w:val="en-US" w:eastAsia="zh-CN"/>
              </w:rPr>
              <w:t xml:space="preserve">   </w:t>
            </w:r>
            <w:r>
              <w:rPr>
                <w:rFonts w:hint="eastAsia" w:ascii="仿宋" w:hAnsi="仿宋" w:eastAsia="仿宋"/>
                <w:sz w:val="24"/>
              </w:rPr>
              <w:t>1、此报价表中带＊号为必填项，投标</w:t>
            </w:r>
            <w:bookmarkStart w:id="0" w:name="_GoBack"/>
            <w:bookmarkEnd w:id="0"/>
            <w:r>
              <w:rPr>
                <w:rFonts w:hint="eastAsia" w:ascii="仿宋" w:hAnsi="仿宋" w:eastAsia="仿宋"/>
                <w:sz w:val="24"/>
              </w:rPr>
              <w:t>人的报价单除法定代表人和授权委托人签名手写以外，其他填写内容均为打印件加盖投标人公章。</w:t>
            </w:r>
          </w:p>
          <w:p>
            <w:pPr>
              <w:widowControl/>
              <w:ind w:firstLine="720" w:firstLineChars="300"/>
              <w:jc w:val="both"/>
              <w:textAlignment w:val="center"/>
            </w:pPr>
            <w:r>
              <w:rPr>
                <w:rFonts w:hint="eastAsia" w:ascii="仿宋" w:hAnsi="仿宋" w:eastAsia="仿宋"/>
                <w:sz w:val="24"/>
                <w:lang w:val="en-US" w:eastAsia="zh-CN"/>
              </w:rPr>
              <w:t>2、</w:t>
            </w:r>
            <w:r>
              <w:rPr>
                <w:rFonts w:hint="eastAsia" w:ascii="仿宋" w:hAnsi="仿宋" w:eastAsia="仿宋"/>
                <w:sz w:val="24"/>
              </w:rPr>
              <w:t>此数量为预估量，实际以我单位铜陵铜冠建安新型环保科技有限公司过磅单为准。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5292" w:type="dxa"/>
            <w:gridSpan w:val="2"/>
            <w:vMerge w:val="restart"/>
            <w:vAlign w:val="center"/>
          </w:tcPr>
          <w:p>
            <w:pPr>
              <w:rPr>
                <w:rFonts w:ascii="仿宋" w:hAnsi="仿宋" w:eastAsia="仿宋"/>
                <w:sz w:val="24"/>
              </w:rPr>
            </w:pPr>
            <w:r>
              <w:rPr>
                <w:rFonts w:hint="eastAsia" w:ascii="仿宋" w:hAnsi="仿宋" w:eastAsia="仿宋" w:cs="宋体"/>
                <w:sz w:val="24"/>
              </w:rPr>
              <w:t>投标单位（公章）</w:t>
            </w:r>
          </w:p>
        </w:tc>
        <w:tc>
          <w:tcPr>
            <w:tcW w:w="5379" w:type="dxa"/>
            <w:gridSpan w:val="6"/>
            <w:vAlign w:val="center"/>
          </w:tcPr>
          <w:p>
            <w:pPr>
              <w:jc w:val="center"/>
              <w:rPr>
                <w:rFonts w:ascii="仿宋" w:hAnsi="仿宋" w:eastAsia="仿宋"/>
                <w:sz w:val="24"/>
              </w:rPr>
            </w:pPr>
            <w:r>
              <w:rPr>
                <w:rFonts w:hint="eastAsia" w:ascii="仿宋" w:hAnsi="仿宋" w:eastAsia="仿宋" w:cs="宋体"/>
                <w:sz w:val="24"/>
              </w:rPr>
              <w:t>法定代表人或授权委托人</w:t>
            </w:r>
          </w:p>
        </w:tc>
        <w:tc>
          <w:tcPr>
            <w:tcW w:w="4944" w:type="dxa"/>
            <w:gridSpan w:val="2"/>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292" w:type="dxa"/>
            <w:gridSpan w:val="2"/>
            <w:vMerge w:val="continue"/>
            <w:vAlign w:val="center"/>
          </w:tcPr>
          <w:p>
            <w:pPr>
              <w:rPr>
                <w:rFonts w:ascii="仿宋" w:hAnsi="仿宋" w:eastAsia="仿宋"/>
                <w:sz w:val="24"/>
              </w:rPr>
            </w:pPr>
          </w:p>
        </w:tc>
        <w:tc>
          <w:tcPr>
            <w:tcW w:w="1766" w:type="dxa"/>
            <w:gridSpan w:val="2"/>
            <w:vMerge w:val="restart"/>
            <w:vAlign w:val="center"/>
          </w:tcPr>
          <w:p>
            <w:pPr>
              <w:jc w:val="center"/>
              <w:rPr>
                <w:rFonts w:ascii="仿宋" w:hAnsi="仿宋" w:eastAsia="仿宋"/>
                <w:sz w:val="24"/>
              </w:rPr>
            </w:pPr>
            <w:r>
              <w:rPr>
                <w:rFonts w:hint="eastAsia" w:ascii="仿宋" w:hAnsi="仿宋" w:eastAsia="仿宋" w:cs="宋体"/>
                <w:sz w:val="24"/>
              </w:rPr>
              <w:t>联系方式</w:t>
            </w:r>
          </w:p>
        </w:tc>
        <w:tc>
          <w:tcPr>
            <w:tcW w:w="3613" w:type="dxa"/>
            <w:gridSpan w:val="4"/>
            <w:vAlign w:val="center"/>
          </w:tcPr>
          <w:p>
            <w:pPr>
              <w:jc w:val="center"/>
              <w:rPr>
                <w:rFonts w:ascii="仿宋" w:hAnsi="仿宋" w:eastAsia="仿宋"/>
                <w:sz w:val="24"/>
              </w:rPr>
            </w:pPr>
            <w:r>
              <w:rPr>
                <w:rFonts w:hint="eastAsia" w:ascii="仿宋" w:hAnsi="仿宋" w:eastAsia="仿宋" w:cs="宋体"/>
                <w:sz w:val="24"/>
              </w:rPr>
              <w:t>电话</w:t>
            </w:r>
          </w:p>
        </w:tc>
        <w:tc>
          <w:tcPr>
            <w:tcW w:w="4944" w:type="dxa"/>
            <w:gridSpan w:val="2"/>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5292" w:type="dxa"/>
            <w:gridSpan w:val="2"/>
            <w:vMerge w:val="continue"/>
            <w:vAlign w:val="center"/>
          </w:tcPr>
          <w:p>
            <w:pPr>
              <w:rPr>
                <w:rFonts w:ascii="仿宋" w:hAnsi="仿宋" w:eastAsia="仿宋"/>
                <w:sz w:val="24"/>
              </w:rPr>
            </w:pPr>
          </w:p>
        </w:tc>
        <w:tc>
          <w:tcPr>
            <w:tcW w:w="1766" w:type="dxa"/>
            <w:gridSpan w:val="2"/>
            <w:vMerge w:val="continue"/>
            <w:vAlign w:val="center"/>
          </w:tcPr>
          <w:p>
            <w:pPr>
              <w:jc w:val="center"/>
              <w:rPr>
                <w:rFonts w:ascii="仿宋" w:hAnsi="仿宋" w:eastAsia="仿宋"/>
                <w:sz w:val="24"/>
              </w:rPr>
            </w:pPr>
          </w:p>
        </w:tc>
        <w:tc>
          <w:tcPr>
            <w:tcW w:w="3613" w:type="dxa"/>
            <w:gridSpan w:val="4"/>
            <w:vAlign w:val="center"/>
          </w:tcPr>
          <w:p>
            <w:pPr>
              <w:jc w:val="center"/>
              <w:rPr>
                <w:rFonts w:ascii="仿宋" w:hAnsi="仿宋" w:eastAsia="仿宋"/>
                <w:sz w:val="24"/>
              </w:rPr>
            </w:pPr>
            <w:r>
              <w:rPr>
                <w:rFonts w:hint="eastAsia" w:ascii="仿宋" w:hAnsi="仿宋" w:eastAsia="仿宋" w:cs="宋体"/>
                <w:sz w:val="24"/>
              </w:rPr>
              <w:t>邮箱</w:t>
            </w:r>
          </w:p>
        </w:tc>
        <w:tc>
          <w:tcPr>
            <w:tcW w:w="4944" w:type="dxa"/>
            <w:gridSpan w:val="2"/>
            <w:vAlign w:val="center"/>
          </w:tcPr>
          <w:p>
            <w:pPr>
              <w:rPr>
                <w:rFonts w:ascii="仿宋" w:hAnsi="仿宋" w:eastAsia="仿宋"/>
                <w:sz w:val="24"/>
              </w:rPr>
            </w:pPr>
          </w:p>
        </w:tc>
      </w:tr>
    </w:tbl>
    <w:p>
      <w:pPr>
        <w:pStyle w:val="2"/>
        <w:ind w:left="0" w:leftChars="0" w:firstLine="0" w:firstLineChars="0"/>
      </w:pPr>
    </w:p>
    <w:p>
      <w:pPr>
        <w:pStyle w:val="2"/>
        <w:ind w:left="0" w:leftChars="0" w:firstLine="0" w:firstLineChars="0"/>
        <w:rPr>
          <w:rFonts w:ascii="仿宋" w:hAnsi="仿宋" w:eastAsia="仿宋"/>
        </w:rPr>
      </w:pPr>
    </w:p>
    <w:sectPr>
      <w:pgSz w:w="16838" w:h="11906" w:orient="landscape"/>
      <w:pgMar w:top="1338" w:right="312" w:bottom="284"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创艺简细圆-Identity-H">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4A56B4"/>
    <w:multiLevelType w:val="singleLevel"/>
    <w:tmpl w:val="B74A56B4"/>
    <w:lvl w:ilvl="0" w:tentative="0">
      <w:start w:val="1"/>
      <w:numFmt w:val="decimal"/>
      <w:suff w:val="nothing"/>
      <w:lvlText w:val="%1、"/>
      <w:lvlJc w:val="left"/>
    </w:lvl>
  </w:abstractNum>
  <w:abstractNum w:abstractNumId="1">
    <w:nsid w:val="C0D94047"/>
    <w:multiLevelType w:val="singleLevel"/>
    <w:tmpl w:val="C0D94047"/>
    <w:lvl w:ilvl="0" w:tentative="0">
      <w:start w:val="1"/>
      <w:numFmt w:val="decimal"/>
      <w:suff w:val="nothing"/>
      <w:lvlText w:val="%1、"/>
      <w:lvlJc w:val="left"/>
    </w:lvl>
  </w:abstractNum>
  <w:abstractNum w:abstractNumId="2">
    <w:nsid w:val="438B66A3"/>
    <w:multiLevelType w:val="multilevel"/>
    <w:tmpl w:val="438B66A3"/>
    <w:lvl w:ilvl="0" w:tentative="0">
      <w:start w:val="1"/>
      <w:numFmt w:val="decimal"/>
      <w:pStyle w:val="117"/>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33482-EE17-4E5D-9E97-F63374724109}">
  <ds:schemaRefs/>
</ds:datastoreItem>
</file>